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72372" w14:textId="4A4AD94C" w:rsidR="00C455A1" w:rsidRDefault="00F40200">
      <w:r>
        <w:t>Domanda 18 marzo 2026</w:t>
      </w:r>
    </w:p>
    <w:p w14:paraId="08B765AE" w14:textId="62A5DFD5" w:rsidR="00F40200" w:rsidRDefault="00F40200">
      <w:r w:rsidRPr="00F40200">
        <w:t>CHIEDO CHIARIMENTI IN MERITO ALL'OBBLIGO DI COLLEGARE IL POS AL REGISTRATORE DI CASSA, CHE NOI NON ABBIAMO. C'è UN'ALTRO MODO PER TRASMETTERE GLI INCASSI CON IL POS?</w:t>
      </w:r>
    </w:p>
    <w:p w14:paraId="6B675326" w14:textId="3BCB7304" w:rsidR="00F40200" w:rsidRDefault="00F40200">
      <w:r>
        <w:t>Risposta</w:t>
      </w:r>
    </w:p>
    <w:p w14:paraId="0F35A73C" w14:textId="77777777" w:rsidR="000B43FA" w:rsidRPr="00596B5B" w:rsidRDefault="000B43FA" w:rsidP="000B43FA">
      <w:pPr>
        <w:rPr>
          <w:rFonts w:ascii="Verdana" w:hAnsi="Verdana"/>
          <w:b/>
          <w:bCs/>
          <w:sz w:val="24"/>
          <w:szCs w:val="24"/>
        </w:rPr>
      </w:pPr>
      <w:r w:rsidRPr="00596B5B">
        <w:rPr>
          <w:rFonts w:ascii="Verdana" w:hAnsi="Verdana"/>
          <w:sz w:val="24"/>
          <w:szCs w:val="24"/>
        </w:rPr>
        <w:t xml:space="preserve">Il collegamento virtuale del POS con il Registratore di cassa telematico deve avvenire entro 45 giorni a partire dal 5 Marzo (giorno in cui è stata attivata la procedura), </w:t>
      </w:r>
      <w:r w:rsidRPr="00596B5B">
        <w:rPr>
          <w:rFonts w:ascii="Verdana" w:hAnsi="Verdana"/>
          <w:b/>
          <w:bCs/>
          <w:sz w:val="24"/>
          <w:szCs w:val="24"/>
        </w:rPr>
        <w:t>in pratica entro e non oltre il 19 Aprile prossimo.</w:t>
      </w:r>
    </w:p>
    <w:p w14:paraId="185D5981" w14:textId="77777777" w:rsidR="000B43FA" w:rsidRDefault="000B43FA" w:rsidP="000B43FA">
      <w:pPr>
        <w:rPr>
          <w:rFonts w:ascii="Verdana" w:hAnsi="Verdana"/>
          <w:sz w:val="24"/>
          <w:szCs w:val="24"/>
        </w:rPr>
      </w:pPr>
      <w:r w:rsidRPr="00596B5B">
        <w:rPr>
          <w:rFonts w:ascii="Verdana" w:hAnsi="Verdana"/>
          <w:sz w:val="24"/>
          <w:szCs w:val="24"/>
        </w:rPr>
        <w:t xml:space="preserve">Naturalmente </w:t>
      </w:r>
      <w:r>
        <w:rPr>
          <w:rFonts w:ascii="Verdana" w:hAnsi="Verdana"/>
          <w:sz w:val="24"/>
          <w:szCs w:val="24"/>
        </w:rPr>
        <w:t>la</w:t>
      </w:r>
      <w:r w:rsidRPr="00596B5B">
        <w:rPr>
          <w:rFonts w:ascii="Verdana" w:hAnsi="Verdana"/>
          <w:sz w:val="24"/>
          <w:szCs w:val="24"/>
        </w:rPr>
        <w:t xml:space="preserve"> procedura</w:t>
      </w:r>
      <w:r>
        <w:rPr>
          <w:rFonts w:ascii="Verdana" w:hAnsi="Verdana"/>
          <w:sz w:val="24"/>
          <w:szCs w:val="24"/>
        </w:rPr>
        <w:t xml:space="preserve"> del collegamento</w:t>
      </w:r>
      <w:r w:rsidRPr="00596B5B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RT-POS </w:t>
      </w:r>
      <w:r w:rsidRPr="00596B5B">
        <w:rPr>
          <w:rFonts w:ascii="Verdana" w:hAnsi="Verdana"/>
          <w:sz w:val="24"/>
          <w:szCs w:val="24"/>
        </w:rPr>
        <w:t xml:space="preserve">va </w:t>
      </w:r>
      <w:r>
        <w:rPr>
          <w:rFonts w:ascii="Verdana" w:hAnsi="Verdana"/>
          <w:sz w:val="24"/>
          <w:szCs w:val="24"/>
        </w:rPr>
        <w:t xml:space="preserve">sicuramente </w:t>
      </w:r>
      <w:r w:rsidRPr="00596B5B">
        <w:rPr>
          <w:rFonts w:ascii="Verdana" w:hAnsi="Verdana"/>
          <w:sz w:val="24"/>
          <w:szCs w:val="24"/>
        </w:rPr>
        <w:t>adottata se l'azienda è dotata di un registratore telematico; qualora</w:t>
      </w:r>
      <w:r>
        <w:rPr>
          <w:rFonts w:ascii="Verdana" w:hAnsi="Verdana"/>
          <w:sz w:val="24"/>
          <w:szCs w:val="24"/>
        </w:rPr>
        <w:t>, invece,</w:t>
      </w:r>
      <w:r w:rsidRPr="00596B5B">
        <w:rPr>
          <w:rFonts w:ascii="Verdana" w:hAnsi="Verdana"/>
          <w:sz w:val="24"/>
          <w:szCs w:val="24"/>
        </w:rPr>
        <w:t xml:space="preserve"> l'azienda per sua natura e per la tipologia di attività esercitata ovvero, ancora, a causa di una particolare esenzione nell'obbligo di trasmissione dei corrispettivi, non abbia l'obbligo di certificare i corrispettivi con il registratore di cassa e quindi con l'emissione del documento commerciale, non dovrà effettuare alcun adempimento in tal senso</w:t>
      </w:r>
      <w:r>
        <w:rPr>
          <w:rFonts w:ascii="Verdana" w:hAnsi="Verdana"/>
          <w:sz w:val="24"/>
          <w:szCs w:val="24"/>
        </w:rPr>
        <w:t>.</w:t>
      </w:r>
    </w:p>
    <w:p w14:paraId="503F5FE3" w14:textId="77777777" w:rsidR="000B43FA" w:rsidRPr="00596B5B" w:rsidRDefault="000B43FA" w:rsidP="000B43FA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Bisogna però porre attenzione alla situazione in cui l’Azienda, nonostante la mancanza del Registratore di cassa telematico, sia</w:t>
      </w:r>
      <w:r w:rsidRPr="00596B5B">
        <w:rPr>
          <w:rFonts w:ascii="Verdana" w:hAnsi="Verdana"/>
          <w:sz w:val="24"/>
          <w:szCs w:val="24"/>
        </w:rPr>
        <w:t xml:space="preserve"> dotata di uno o più POS.</w:t>
      </w:r>
    </w:p>
    <w:p w14:paraId="2A4E5FE2" w14:textId="77777777" w:rsidR="000B43FA" w:rsidRPr="00596B5B" w:rsidRDefault="000B43FA" w:rsidP="000B43FA">
      <w:pPr>
        <w:rPr>
          <w:rFonts w:ascii="Verdana" w:hAnsi="Verdana"/>
          <w:sz w:val="24"/>
          <w:szCs w:val="24"/>
        </w:rPr>
      </w:pPr>
      <w:r w:rsidRPr="00596B5B">
        <w:rPr>
          <w:rFonts w:ascii="Verdana" w:hAnsi="Verdana"/>
          <w:sz w:val="24"/>
          <w:szCs w:val="24"/>
        </w:rPr>
        <w:t xml:space="preserve">Può essere questo il caso delle agenzie di viaggio o dei tour operator </w:t>
      </w:r>
      <w:r>
        <w:rPr>
          <w:rFonts w:ascii="Verdana" w:hAnsi="Verdana"/>
          <w:sz w:val="24"/>
          <w:szCs w:val="24"/>
        </w:rPr>
        <w:t xml:space="preserve">dove </w:t>
      </w:r>
      <w:r w:rsidRPr="00596B5B">
        <w:rPr>
          <w:rFonts w:ascii="Verdana" w:hAnsi="Verdana"/>
          <w:sz w:val="24"/>
          <w:szCs w:val="24"/>
        </w:rPr>
        <w:t xml:space="preserve"> esistono delle alternative all'emissione del “documento commerciale” (ex scontrino fiscale) </w:t>
      </w:r>
      <w:r>
        <w:rPr>
          <w:rFonts w:ascii="Verdana" w:hAnsi="Verdana"/>
          <w:sz w:val="24"/>
          <w:szCs w:val="24"/>
        </w:rPr>
        <w:t>oltre a</w:t>
      </w:r>
      <w:r w:rsidRPr="00596B5B">
        <w:rPr>
          <w:rFonts w:ascii="Verdana" w:hAnsi="Verdana"/>
          <w:sz w:val="24"/>
          <w:szCs w:val="24"/>
        </w:rPr>
        <w:t xml:space="preserve"> diverse esenzioni, normate dalla legge, per quanto riguarda l'invio telematico dei corrispettivi.</w:t>
      </w:r>
    </w:p>
    <w:p w14:paraId="1BC12178" w14:textId="77777777" w:rsidR="000B43FA" w:rsidRPr="00596B5B" w:rsidRDefault="000B43FA" w:rsidP="000B43FA">
      <w:pPr>
        <w:rPr>
          <w:rFonts w:ascii="Verdana" w:hAnsi="Verdana"/>
          <w:sz w:val="24"/>
          <w:szCs w:val="24"/>
        </w:rPr>
      </w:pPr>
      <w:r w:rsidRPr="00596B5B">
        <w:rPr>
          <w:rFonts w:ascii="Verdana" w:hAnsi="Verdana"/>
          <w:sz w:val="24"/>
          <w:szCs w:val="24"/>
        </w:rPr>
        <w:t xml:space="preserve">Pertanto, qualora l'agenzia di viaggio abbia effettuato la scelta di </w:t>
      </w:r>
      <w:r w:rsidRPr="00596B5B">
        <w:rPr>
          <w:rFonts w:ascii="Verdana" w:hAnsi="Verdana"/>
          <w:b/>
          <w:bCs/>
          <w:sz w:val="24"/>
          <w:szCs w:val="24"/>
        </w:rPr>
        <w:t>emettere sempre fatture</w:t>
      </w:r>
      <w:r w:rsidRPr="00596B5B">
        <w:rPr>
          <w:rFonts w:ascii="Verdana" w:hAnsi="Verdana"/>
          <w:sz w:val="24"/>
          <w:szCs w:val="24"/>
        </w:rPr>
        <w:t xml:space="preserve"> per operazioni che, teoricamente, generano corrispettivi, non sarà obbligata alla installazione del Registratore di cassa telematico.</w:t>
      </w:r>
    </w:p>
    <w:p w14:paraId="5B2DAD31" w14:textId="77777777" w:rsidR="000B43FA" w:rsidRPr="00596B5B" w:rsidRDefault="000B43FA" w:rsidP="000B43FA">
      <w:pPr>
        <w:rPr>
          <w:rFonts w:ascii="Verdana" w:hAnsi="Verdana"/>
          <w:sz w:val="24"/>
          <w:szCs w:val="24"/>
        </w:rPr>
      </w:pPr>
      <w:r w:rsidRPr="00596B5B">
        <w:rPr>
          <w:rFonts w:ascii="Verdana" w:hAnsi="Verdana"/>
          <w:sz w:val="24"/>
          <w:szCs w:val="24"/>
        </w:rPr>
        <w:t>Le ADV hanno anche altre esenzioni dall’obbligo di trasmissione dei corrispettivi (che deriva dall’esonero nell’emissione delle ricevute fiscali), tra cui:</w:t>
      </w:r>
    </w:p>
    <w:p w14:paraId="025A1E46" w14:textId="77777777" w:rsidR="000B43FA" w:rsidRPr="00596B5B" w:rsidRDefault="000B43FA" w:rsidP="000B43FA">
      <w:pPr>
        <w:pStyle w:val="Paragrafoelenco"/>
        <w:numPr>
          <w:ilvl w:val="0"/>
          <w:numId w:val="7"/>
        </w:numPr>
        <w:rPr>
          <w:rFonts w:ascii="Verdana" w:hAnsi="Verdana"/>
          <w:sz w:val="24"/>
          <w:szCs w:val="24"/>
        </w:rPr>
      </w:pPr>
      <w:r w:rsidRPr="00596B5B">
        <w:rPr>
          <w:rFonts w:ascii="Verdana" w:hAnsi="Verdana"/>
          <w:sz w:val="24"/>
          <w:szCs w:val="24"/>
        </w:rPr>
        <w:t xml:space="preserve">Possono maturare ed incassare corrispettivi che rientrano nell'esenzione dell'emissione del documento commerciale (ex ricevute fiscali), ai sensi </w:t>
      </w:r>
      <w:r w:rsidRPr="00596B5B">
        <w:rPr>
          <w:rFonts w:ascii="Verdana" w:hAnsi="Verdana"/>
          <w:b/>
          <w:bCs/>
          <w:sz w:val="24"/>
          <w:szCs w:val="24"/>
        </w:rPr>
        <w:t>dell'articolo 2 del dpr 696 /1996</w:t>
      </w:r>
      <w:r w:rsidRPr="00596B5B">
        <w:rPr>
          <w:rFonts w:ascii="Verdana" w:hAnsi="Verdana"/>
          <w:sz w:val="24"/>
          <w:szCs w:val="24"/>
        </w:rPr>
        <w:t>, che recita:</w:t>
      </w:r>
    </w:p>
    <w:p w14:paraId="5648255E" w14:textId="77777777" w:rsidR="000B43FA" w:rsidRPr="00596B5B" w:rsidRDefault="000B43FA" w:rsidP="000B43FA">
      <w:pPr>
        <w:ind w:left="360"/>
        <w:rPr>
          <w:rFonts w:ascii="Verdana" w:hAnsi="Verdana"/>
          <w:i/>
          <w:iCs/>
          <w:sz w:val="24"/>
          <w:szCs w:val="24"/>
        </w:rPr>
      </w:pPr>
      <w:r w:rsidRPr="00596B5B">
        <w:rPr>
          <w:rFonts w:ascii="Verdana" w:hAnsi="Verdana"/>
          <w:i/>
          <w:iCs/>
          <w:sz w:val="24"/>
          <w:szCs w:val="24"/>
        </w:rPr>
        <w:t>Non sono soggette all'obbligo di certificazione di cui all'articolo 1 le seguenti operazioni:</w:t>
      </w:r>
    </w:p>
    <w:p w14:paraId="28CE5AFF" w14:textId="77777777" w:rsidR="000B43FA" w:rsidRPr="00596B5B" w:rsidRDefault="000B43FA" w:rsidP="000B43FA">
      <w:pPr>
        <w:ind w:left="360"/>
        <w:rPr>
          <w:rFonts w:ascii="Verdana" w:hAnsi="Verdana"/>
          <w:i/>
          <w:iCs/>
          <w:sz w:val="24"/>
          <w:szCs w:val="24"/>
        </w:rPr>
      </w:pPr>
      <w:r w:rsidRPr="00596B5B">
        <w:rPr>
          <w:rFonts w:ascii="Verdana" w:hAnsi="Verdana"/>
          <w:i/>
          <w:iCs/>
          <w:sz w:val="24"/>
          <w:szCs w:val="24"/>
        </w:rPr>
        <w:t>……omissis…….</w:t>
      </w:r>
    </w:p>
    <w:p w14:paraId="0F85BCEF" w14:textId="77777777" w:rsidR="000B43FA" w:rsidRPr="00596B5B" w:rsidRDefault="000B43FA" w:rsidP="000B43FA">
      <w:pPr>
        <w:ind w:left="360"/>
        <w:rPr>
          <w:rFonts w:ascii="Verdana" w:hAnsi="Verdana"/>
          <w:b/>
          <w:bCs/>
          <w:i/>
          <w:iCs/>
          <w:sz w:val="24"/>
          <w:szCs w:val="24"/>
        </w:rPr>
      </w:pPr>
      <w:r w:rsidRPr="00596B5B">
        <w:rPr>
          <w:rFonts w:ascii="Verdana" w:hAnsi="Verdana"/>
          <w:b/>
          <w:bCs/>
          <w:i/>
          <w:iCs/>
          <w:sz w:val="24"/>
          <w:szCs w:val="24"/>
          <w:highlight w:val="yellow"/>
        </w:rPr>
        <w:t>ff) le prestazioni rese dalle agenzie di viaggio e turismo concernenti la prenotazione di servizi in nome e per conto del cliente;</w:t>
      </w:r>
    </w:p>
    <w:p w14:paraId="18ADDD91" w14:textId="77777777" w:rsidR="000B43FA" w:rsidRPr="00596B5B" w:rsidRDefault="000B43FA" w:rsidP="000B43FA">
      <w:pPr>
        <w:rPr>
          <w:rFonts w:ascii="Verdana" w:hAnsi="Verdana"/>
          <w:sz w:val="24"/>
          <w:szCs w:val="24"/>
        </w:rPr>
      </w:pPr>
      <w:r w:rsidRPr="00596B5B">
        <w:rPr>
          <w:rFonts w:ascii="Verdana" w:hAnsi="Verdana"/>
          <w:sz w:val="24"/>
          <w:szCs w:val="24"/>
        </w:rPr>
        <w:t>Si tratta de</w:t>
      </w:r>
      <w:r>
        <w:rPr>
          <w:rFonts w:ascii="Verdana" w:hAnsi="Verdana"/>
          <w:sz w:val="24"/>
          <w:szCs w:val="24"/>
        </w:rPr>
        <w:t>lle</w:t>
      </w:r>
      <w:r w:rsidRPr="00596B5B">
        <w:rPr>
          <w:rFonts w:ascii="Verdana" w:hAnsi="Verdana"/>
          <w:sz w:val="24"/>
          <w:szCs w:val="24"/>
        </w:rPr>
        <w:t xml:space="preserve"> cosiddett</w:t>
      </w:r>
      <w:r>
        <w:rPr>
          <w:rFonts w:ascii="Verdana" w:hAnsi="Verdana"/>
          <w:sz w:val="24"/>
          <w:szCs w:val="24"/>
        </w:rPr>
        <w:t>e “Fee” o</w:t>
      </w:r>
      <w:r w:rsidRPr="00596B5B">
        <w:rPr>
          <w:rFonts w:ascii="Verdana" w:hAnsi="Verdana"/>
          <w:sz w:val="24"/>
          <w:szCs w:val="24"/>
        </w:rPr>
        <w:t xml:space="preserve"> “Diritti di agenzia” incassati dal cliente/consumatore finale, in aggiunta alla provvigione riconosciuta dal prestatore dei servizi principali. Sono in pratica diritti assimilabili ai corrispettivi per le prestazioni di servizi ovvero a rimborsi forfetari per le spese sostenute per compiere l’operazione di prenotazione esonerati dall’obbligo di emissione dello scontrino o della ricevuta fiscale. Vengono appunto richiesti per la mera </w:t>
      </w:r>
      <w:r w:rsidRPr="00596B5B">
        <w:rPr>
          <w:rFonts w:ascii="Verdana" w:hAnsi="Verdana"/>
          <w:sz w:val="24"/>
          <w:szCs w:val="24"/>
        </w:rPr>
        <w:lastRenderedPageBreak/>
        <w:t>esecuzione di servizi connessi alla prenotazione del servizio turistico e prestati dall’agenzia di viaggi nell’interesse del cliente (ad esempio: rimborso delle spese per prenotazione di soggiorni in alberghi, per l’emissione di biglietti di viaggio (</w:t>
      </w:r>
      <w:r>
        <w:rPr>
          <w:rFonts w:ascii="Verdana" w:hAnsi="Verdana"/>
          <w:sz w:val="24"/>
          <w:szCs w:val="24"/>
        </w:rPr>
        <w:t xml:space="preserve">aerei, </w:t>
      </w:r>
      <w:r w:rsidRPr="00596B5B">
        <w:rPr>
          <w:rFonts w:ascii="Verdana" w:hAnsi="Verdana"/>
          <w:sz w:val="24"/>
          <w:szCs w:val="24"/>
        </w:rPr>
        <w:t>ferroviari, marittimi ed automobilistici), servizi relativi alla vidimazione di passaporti e servizi similari, la predisposizione di un preventivo di vendita di un pacchetto turistico, il rilascio di visti, ecc.);</w:t>
      </w:r>
    </w:p>
    <w:p w14:paraId="6119B4C1" w14:textId="77777777" w:rsidR="000B43FA" w:rsidRPr="00596B5B" w:rsidRDefault="000B43FA" w:rsidP="000B43FA">
      <w:pPr>
        <w:rPr>
          <w:rFonts w:ascii="Verdana" w:hAnsi="Verdana"/>
          <w:sz w:val="24"/>
          <w:szCs w:val="24"/>
        </w:rPr>
      </w:pPr>
      <w:r w:rsidRPr="00596B5B">
        <w:rPr>
          <w:rFonts w:ascii="Verdana" w:hAnsi="Verdana"/>
          <w:sz w:val="24"/>
          <w:szCs w:val="24"/>
        </w:rPr>
        <w:t>Sono anche esentat</w:t>
      </w:r>
      <w:r>
        <w:rPr>
          <w:rFonts w:ascii="Verdana" w:hAnsi="Verdana"/>
          <w:sz w:val="24"/>
          <w:szCs w:val="24"/>
        </w:rPr>
        <w:t>e</w:t>
      </w:r>
      <w:r w:rsidRPr="00596B5B">
        <w:rPr>
          <w:rFonts w:ascii="Verdana" w:hAnsi="Verdana"/>
          <w:sz w:val="24"/>
          <w:szCs w:val="24"/>
        </w:rPr>
        <w:t xml:space="preserve"> le prestazioni di trasporto pubblico collettivo di persone e di veicoli e bagagli al seguito, con qualunque mezzo esercitato, per le quali i biglietti di trasporto, compresi quelli emessi da biglietterie automatiche, assolvono la funzione di certificazione fiscale</w:t>
      </w:r>
      <w:r>
        <w:rPr>
          <w:rFonts w:ascii="Verdana" w:hAnsi="Verdana"/>
          <w:sz w:val="24"/>
          <w:szCs w:val="24"/>
        </w:rPr>
        <w:t>.</w:t>
      </w:r>
    </w:p>
    <w:p w14:paraId="323828FB" w14:textId="77777777" w:rsidR="000B43FA" w:rsidRPr="00596B5B" w:rsidRDefault="000B43FA" w:rsidP="000B43FA">
      <w:pPr>
        <w:rPr>
          <w:rFonts w:ascii="Verdana" w:hAnsi="Verdana"/>
          <w:sz w:val="24"/>
          <w:szCs w:val="24"/>
        </w:rPr>
      </w:pPr>
      <w:r w:rsidRPr="00596B5B">
        <w:rPr>
          <w:rFonts w:ascii="Verdana" w:hAnsi="Verdana"/>
          <w:sz w:val="24"/>
          <w:szCs w:val="24"/>
        </w:rPr>
        <w:t>Il Decreto del MEF del 24 dicembre 2019 (pubblicato in G.U. il 31.12.2019) ha aggiornato il DM del 10 maggio 2019 in ordine agli esoneri dall’obbligo di trasmissione dei Corrispettivi.</w:t>
      </w:r>
    </w:p>
    <w:p w14:paraId="2F88E8FF" w14:textId="77777777" w:rsidR="000B43FA" w:rsidRPr="00596B5B" w:rsidRDefault="000B43FA" w:rsidP="000B43FA">
      <w:pPr>
        <w:rPr>
          <w:rFonts w:ascii="Verdana" w:hAnsi="Verdana"/>
          <w:sz w:val="24"/>
          <w:szCs w:val="24"/>
        </w:rPr>
      </w:pPr>
      <w:r w:rsidRPr="00596B5B">
        <w:rPr>
          <w:rFonts w:ascii="Verdana" w:hAnsi="Verdana"/>
          <w:sz w:val="24"/>
          <w:szCs w:val="24"/>
        </w:rPr>
        <w:t>In pratica nell’art. 1, comma 1, lett. c), è stato abrogato il termine del “31 dicembre 2019” e pertanto il valore dell’1% riferito alle “operazioni marginali” resta valido per le annualità a venire.</w:t>
      </w:r>
    </w:p>
    <w:p w14:paraId="325F40E0" w14:textId="77777777" w:rsidR="000B43FA" w:rsidRPr="00596B5B" w:rsidRDefault="000B43FA" w:rsidP="000B43FA">
      <w:pPr>
        <w:rPr>
          <w:rFonts w:ascii="Verdana" w:hAnsi="Verdana"/>
          <w:sz w:val="24"/>
          <w:szCs w:val="24"/>
        </w:rPr>
      </w:pPr>
      <w:r w:rsidRPr="00596B5B">
        <w:rPr>
          <w:rFonts w:ascii="Verdana" w:hAnsi="Verdana"/>
          <w:sz w:val="24"/>
          <w:szCs w:val="24"/>
        </w:rPr>
        <w:t>Quindi: le operazioni collegate e connesse a quelle di cui alle lettere a), b) e b-bis) nonché le operazioni marginali, effettuate in relazione a quelle indicate nei due punti precedenti o rispetto a quelle per le quali è obbligatoria l’emissione della fattura: a tal proposito sono considerate marginali le operazioni i cui ricavi o compensi non sono superiori all’1% del volume di affari dell’anno precedente.</w:t>
      </w:r>
    </w:p>
    <w:p w14:paraId="0B489ABC" w14:textId="77777777" w:rsidR="000B43FA" w:rsidRPr="00596B5B" w:rsidRDefault="000B43FA" w:rsidP="000B43FA">
      <w:pPr>
        <w:pStyle w:val="NormaleWeb"/>
        <w:shd w:val="clear" w:color="auto" w:fill="FFFFFF"/>
        <w:spacing w:before="150" w:beforeAutospacing="0" w:after="150" w:afterAutospacing="0" w:line="300" w:lineRule="atLeast"/>
        <w:rPr>
          <w:rFonts w:ascii="Verdana" w:hAnsi="Verdana" w:cs="Arial"/>
          <w:color w:val="434343"/>
        </w:rPr>
      </w:pPr>
      <w:r w:rsidRPr="00596B5B">
        <w:rPr>
          <w:rFonts w:ascii="Verdana" w:hAnsi="Verdana" w:cs="Segoe UI"/>
          <w:color w:val="616161"/>
        </w:rPr>
        <w:t> </w:t>
      </w:r>
      <w:r w:rsidRPr="00596B5B">
        <w:rPr>
          <w:rStyle w:val="Enfasigrassetto"/>
          <w:rFonts w:ascii="Verdana" w:eastAsiaTheme="majorEastAsia" w:hAnsi="Verdana" w:cs="Arial"/>
          <w:color w:val="434343"/>
        </w:rPr>
        <w:t>Art. 1 Operazioni esonerate dall'obbligo di memorizzazione elettronica e di trasmissione telematica dei dati dei corrispettivi giornalieri</w:t>
      </w:r>
    </w:p>
    <w:p w14:paraId="7B64CB1A" w14:textId="77777777" w:rsidR="000B43FA" w:rsidRPr="00596B5B" w:rsidRDefault="000B43FA" w:rsidP="000B43FA">
      <w:pPr>
        <w:pStyle w:val="NormaleWeb"/>
        <w:shd w:val="clear" w:color="auto" w:fill="FFFFFF"/>
        <w:spacing w:before="150" w:beforeAutospacing="0" w:after="150" w:afterAutospacing="0" w:line="300" w:lineRule="atLeast"/>
        <w:rPr>
          <w:rFonts w:ascii="Verdana" w:hAnsi="Verdana" w:cs="Arial"/>
          <w:color w:val="434343"/>
        </w:rPr>
      </w:pPr>
      <w:r w:rsidRPr="00596B5B">
        <w:rPr>
          <w:rStyle w:val="Enfasicorsivo"/>
          <w:rFonts w:ascii="Verdana" w:eastAsiaTheme="majorEastAsia" w:hAnsi="Verdana" w:cs="Arial"/>
          <w:color w:val="434343"/>
        </w:rPr>
        <w:t>In vigore dal 31/12/2019</w:t>
      </w:r>
    </w:p>
    <w:p w14:paraId="64D0961C" w14:textId="77777777" w:rsidR="000B43FA" w:rsidRPr="00596B5B" w:rsidRDefault="000B43FA" w:rsidP="000B43FA">
      <w:pPr>
        <w:pStyle w:val="NormaleWeb"/>
        <w:shd w:val="clear" w:color="auto" w:fill="FFFFFF"/>
        <w:spacing w:before="150" w:beforeAutospacing="0" w:after="150" w:afterAutospacing="0" w:line="300" w:lineRule="atLeast"/>
        <w:rPr>
          <w:rFonts w:ascii="Verdana" w:hAnsi="Verdana" w:cs="Arial"/>
          <w:color w:val="434343"/>
        </w:rPr>
      </w:pPr>
      <w:r w:rsidRPr="00596B5B">
        <w:rPr>
          <w:rStyle w:val="Enfasicorsivo"/>
          <w:rFonts w:ascii="Verdana" w:eastAsiaTheme="majorEastAsia" w:hAnsi="Verdana" w:cs="Arial"/>
          <w:color w:val="434343"/>
        </w:rPr>
        <w:t>Modificato da: Decreto del 24/12/2019 Articolo 1</w:t>
      </w:r>
    </w:p>
    <w:p w14:paraId="311B9F24" w14:textId="77777777" w:rsidR="000B43FA" w:rsidRPr="00596B5B" w:rsidRDefault="000B43FA" w:rsidP="000B43FA">
      <w:pPr>
        <w:pStyle w:val="NormaleWeb"/>
        <w:shd w:val="clear" w:color="auto" w:fill="FFFFFF"/>
        <w:spacing w:before="150" w:beforeAutospacing="0" w:after="150" w:afterAutospacing="0" w:line="300" w:lineRule="atLeast"/>
        <w:rPr>
          <w:rFonts w:ascii="Verdana" w:hAnsi="Verdana" w:cs="Arial"/>
          <w:color w:val="434343"/>
        </w:rPr>
      </w:pPr>
      <w:r w:rsidRPr="00596B5B">
        <w:rPr>
          <w:rFonts w:ascii="Verdana" w:hAnsi="Verdana" w:cs="Arial"/>
          <w:color w:val="434343"/>
        </w:rPr>
        <w:t>1. In fase di prima applicazione, l'obbligo di memorizzazione elettronica e trasmissione telematica dei dati dei corrispettivi giornalieri di cui all'</w:t>
      </w:r>
      <w:hyperlink r:id="rId5" w:history="1">
        <w:r w:rsidRPr="00596B5B">
          <w:rPr>
            <w:rStyle w:val="Collegamentoipertestuale"/>
            <w:rFonts w:ascii="Verdana" w:eastAsiaTheme="majorEastAsia" w:hAnsi="Verdana" w:cs="Arial"/>
            <w:color w:val="AE1B13"/>
          </w:rPr>
          <w:t>art. 2, comma 1, del decreto legislativo 5 agosto 2015, n. 127</w:t>
        </w:r>
      </w:hyperlink>
      <w:r w:rsidRPr="00596B5B">
        <w:rPr>
          <w:rFonts w:ascii="Verdana" w:hAnsi="Verdana" w:cs="Arial"/>
          <w:color w:val="434343"/>
        </w:rPr>
        <w:t>, non si applica:</w:t>
      </w:r>
    </w:p>
    <w:p w14:paraId="0BB5024C" w14:textId="77777777" w:rsidR="000B43FA" w:rsidRPr="00596B5B" w:rsidRDefault="000B43FA" w:rsidP="000B43FA">
      <w:pPr>
        <w:pStyle w:val="NormaleWeb"/>
        <w:shd w:val="clear" w:color="auto" w:fill="FFFFFF"/>
        <w:spacing w:before="150" w:beforeAutospacing="0" w:after="150" w:afterAutospacing="0" w:line="300" w:lineRule="atLeast"/>
        <w:rPr>
          <w:rFonts w:ascii="Verdana" w:hAnsi="Verdana" w:cs="Arial"/>
          <w:color w:val="434343"/>
        </w:rPr>
      </w:pPr>
      <w:r w:rsidRPr="00596B5B">
        <w:rPr>
          <w:rFonts w:ascii="Verdana" w:hAnsi="Verdana" w:cs="Arial"/>
          <w:color w:val="434343"/>
        </w:rPr>
        <w:t>a) alle operazioni non soggette all'obbligo di certificazione dei corrispettivi, ai sensi dell'</w:t>
      </w:r>
      <w:hyperlink r:id="rId6" w:history="1">
        <w:r w:rsidRPr="00596B5B">
          <w:rPr>
            <w:rStyle w:val="Collegamentoipertestuale"/>
            <w:rFonts w:ascii="Verdana" w:eastAsiaTheme="majorEastAsia" w:hAnsi="Verdana" w:cs="Arial"/>
            <w:color w:val="AE1B13"/>
          </w:rPr>
          <w:t>art. 2 del decreto del Presidente della Repubblica 21 dicembre 1996, n. 696</w:t>
        </w:r>
      </w:hyperlink>
      <w:r w:rsidRPr="00596B5B">
        <w:rPr>
          <w:rFonts w:ascii="Verdana" w:hAnsi="Verdana" w:cs="Arial"/>
          <w:color w:val="434343"/>
        </w:rPr>
        <w:t>, e successive modificazioni e integrazioni, e dei decreti del Ministro dell'economia e delle finanze 13 febbraio 2015 e 27 ottobre 2015;</w:t>
      </w:r>
    </w:p>
    <w:p w14:paraId="3A25C566" w14:textId="77777777" w:rsidR="000B43FA" w:rsidRPr="00596B5B" w:rsidRDefault="000B43FA" w:rsidP="000B43FA">
      <w:pPr>
        <w:pStyle w:val="NormaleWeb"/>
        <w:shd w:val="clear" w:color="auto" w:fill="FFFFFF"/>
        <w:spacing w:before="150" w:beforeAutospacing="0" w:after="150" w:afterAutospacing="0" w:line="300" w:lineRule="atLeast"/>
        <w:rPr>
          <w:rFonts w:ascii="Verdana" w:hAnsi="Verdana" w:cs="Arial"/>
          <w:color w:val="434343"/>
        </w:rPr>
      </w:pPr>
      <w:r w:rsidRPr="00596B5B">
        <w:rPr>
          <w:rFonts w:ascii="Verdana" w:hAnsi="Verdana" w:cs="Arial"/>
          <w:color w:val="434343"/>
        </w:rPr>
        <w:t>b) alle prestazioni di trasporto pubblico collettivo di persone e di veicoli e bagagli al seguito, con qualunque mezzo esercitato, per le quali i biglietti di trasporto, compresi quelli emessi da biglietterie automatiche, assolvono la funzione di certificazione fiscale;</w:t>
      </w:r>
    </w:p>
    <w:p w14:paraId="56129ED6" w14:textId="77777777" w:rsidR="000B43FA" w:rsidRPr="00596B5B" w:rsidRDefault="000B43FA" w:rsidP="000B43FA">
      <w:pPr>
        <w:pStyle w:val="NormaleWeb"/>
        <w:shd w:val="clear" w:color="auto" w:fill="FFFFFF"/>
        <w:spacing w:before="150" w:beforeAutospacing="0" w:after="150" w:afterAutospacing="0" w:line="300" w:lineRule="atLeast"/>
        <w:rPr>
          <w:rFonts w:ascii="Verdana" w:hAnsi="Verdana" w:cs="Arial"/>
          <w:color w:val="434343"/>
        </w:rPr>
      </w:pPr>
      <w:r w:rsidRPr="00596B5B">
        <w:rPr>
          <w:rFonts w:ascii="Verdana" w:hAnsi="Verdana" w:cs="Arial"/>
          <w:color w:val="434343"/>
        </w:rPr>
        <w:t>b-bis) alle prestazioni di gestione del servizio delle lampade votive nei cimiteri;</w:t>
      </w:r>
    </w:p>
    <w:p w14:paraId="23646E35" w14:textId="77777777" w:rsidR="000B43FA" w:rsidRPr="00596B5B" w:rsidRDefault="000B43FA" w:rsidP="000B43FA">
      <w:pPr>
        <w:pStyle w:val="NormaleWeb"/>
        <w:shd w:val="clear" w:color="auto" w:fill="FFFFFF"/>
        <w:spacing w:before="150" w:beforeAutospacing="0" w:after="150" w:afterAutospacing="0" w:line="300" w:lineRule="atLeast"/>
        <w:rPr>
          <w:rFonts w:ascii="Verdana" w:hAnsi="Verdana" w:cs="Arial"/>
          <w:color w:val="434343"/>
        </w:rPr>
      </w:pPr>
      <w:r w:rsidRPr="00596B5B">
        <w:rPr>
          <w:rFonts w:ascii="Verdana" w:hAnsi="Verdana" w:cs="Arial"/>
          <w:color w:val="434343"/>
        </w:rPr>
        <w:t>c) alle operazioni collegate e connesse a quelle di cui alle lettere a), b) e b)-bis) nonche' alle operazioni di cui all'</w:t>
      </w:r>
      <w:hyperlink r:id="rId7" w:history="1">
        <w:r w:rsidRPr="00596B5B">
          <w:rPr>
            <w:rStyle w:val="Collegamentoipertestuale"/>
            <w:rFonts w:ascii="Verdana" w:eastAsiaTheme="majorEastAsia" w:hAnsi="Verdana" w:cs="Arial"/>
            <w:color w:val="AE1B13"/>
          </w:rPr>
          <w:t xml:space="preserve">art. 22 del decreto del Presidente della </w:t>
        </w:r>
        <w:r w:rsidRPr="00596B5B">
          <w:rPr>
            <w:rStyle w:val="Collegamentoipertestuale"/>
            <w:rFonts w:ascii="Verdana" w:eastAsiaTheme="majorEastAsia" w:hAnsi="Verdana" w:cs="Arial"/>
            <w:color w:val="AE1B13"/>
          </w:rPr>
          <w:lastRenderedPageBreak/>
          <w:t>Repubblica 26 ottobre 1972, n. 633</w:t>
        </w:r>
      </w:hyperlink>
      <w:r w:rsidRPr="00596B5B">
        <w:rPr>
          <w:rFonts w:ascii="Verdana" w:hAnsi="Verdana" w:cs="Arial"/>
          <w:color w:val="434343"/>
        </w:rPr>
        <w:t>, effettuate in via marginale rispetto a quelle di cui alle lettere a), b) e b)-bis) o rispetto a quelle soggette agli obblighi di fatturazione ai sensi dell'</w:t>
      </w:r>
      <w:hyperlink r:id="rId8" w:history="1">
        <w:r w:rsidRPr="00596B5B">
          <w:rPr>
            <w:rStyle w:val="Collegamentoipertestuale"/>
            <w:rFonts w:ascii="Verdana" w:eastAsiaTheme="majorEastAsia" w:hAnsi="Verdana" w:cs="Arial"/>
            <w:color w:val="AE1B13"/>
          </w:rPr>
          <w:t>art. 21 del medesimo decreto del Presidente della Repubblica n. 633 del 1972</w:t>
        </w:r>
      </w:hyperlink>
      <w:r w:rsidRPr="00596B5B">
        <w:rPr>
          <w:rFonts w:ascii="Verdana" w:hAnsi="Verdana" w:cs="Arial"/>
          <w:color w:val="434343"/>
        </w:rPr>
        <w:t xml:space="preserve">. </w:t>
      </w:r>
      <w:r w:rsidRPr="00DD4207">
        <w:rPr>
          <w:rFonts w:ascii="Verdana" w:hAnsi="Verdana" w:cs="Arial"/>
          <w:b/>
          <w:bCs/>
          <w:color w:val="434343"/>
        </w:rPr>
        <w:t>Sono considerate effettuate in via marginale le operazioni i cui ricavi o compensi non sono superiori all'uno per cento del volume d'affari dell'anno precedente;</w:t>
      </w:r>
    </w:p>
    <w:p w14:paraId="5EE4A166" w14:textId="77777777" w:rsidR="000B43FA" w:rsidRPr="00596B5B" w:rsidRDefault="000B43FA" w:rsidP="000B43FA">
      <w:pPr>
        <w:pStyle w:val="NormaleWeb"/>
        <w:shd w:val="clear" w:color="auto" w:fill="FFFFFF"/>
        <w:spacing w:before="150" w:beforeAutospacing="0" w:after="150" w:afterAutospacing="0" w:line="300" w:lineRule="atLeast"/>
        <w:rPr>
          <w:rFonts w:ascii="Verdana" w:hAnsi="Verdana" w:cs="Arial"/>
          <w:color w:val="434343"/>
        </w:rPr>
      </w:pPr>
      <w:r w:rsidRPr="00596B5B">
        <w:rPr>
          <w:rFonts w:ascii="Verdana" w:hAnsi="Verdana" w:cs="Arial"/>
          <w:color w:val="434343"/>
        </w:rPr>
        <w:t>d) alle operazioni effettuate a bordo di una nave, di un aereo o di un treno nel corso di un trasporto internazionale.</w:t>
      </w:r>
    </w:p>
    <w:p w14:paraId="04109E19" w14:textId="77777777" w:rsidR="000B43FA" w:rsidRPr="00596B5B" w:rsidRDefault="000B43FA" w:rsidP="000B43FA">
      <w:pPr>
        <w:pStyle w:val="NormaleWeb"/>
        <w:shd w:val="clear" w:color="auto" w:fill="FFFFFF"/>
        <w:spacing w:before="150" w:beforeAutospacing="0" w:after="150" w:afterAutospacing="0" w:line="300" w:lineRule="atLeast"/>
        <w:rPr>
          <w:rFonts w:ascii="Verdana" w:hAnsi="Verdana" w:cs="Arial"/>
          <w:color w:val="434343"/>
        </w:rPr>
      </w:pPr>
      <w:r w:rsidRPr="00596B5B">
        <w:rPr>
          <w:rFonts w:ascii="Verdana" w:hAnsi="Verdana" w:cs="Arial"/>
          <w:color w:val="434343"/>
        </w:rPr>
        <w:t>2. Le operazioni di cui al comma 1 continuano ad essere annotate nel registro dei corrispettivi di cui all'</w:t>
      </w:r>
      <w:hyperlink r:id="rId9" w:history="1">
        <w:r w:rsidRPr="00596B5B">
          <w:rPr>
            <w:rStyle w:val="Collegamentoipertestuale"/>
            <w:rFonts w:ascii="Verdana" w:eastAsiaTheme="majorEastAsia" w:hAnsi="Verdana" w:cs="Arial"/>
            <w:color w:val="AE1B13"/>
          </w:rPr>
          <w:t>art. 24 del decreto del Presidente della Repubblica n. 633 del 1972</w:t>
        </w:r>
      </w:hyperlink>
      <w:r w:rsidRPr="00596B5B">
        <w:rPr>
          <w:rFonts w:ascii="Verdana" w:hAnsi="Verdana" w:cs="Arial"/>
          <w:color w:val="434343"/>
        </w:rPr>
        <w:t>. </w:t>
      </w:r>
      <w:r w:rsidRPr="00235C90">
        <w:rPr>
          <w:rFonts w:ascii="Verdana" w:hAnsi="Verdana" w:cs="Arial"/>
          <w:b/>
          <w:bCs/>
          <w:color w:val="434343"/>
        </w:rPr>
        <w:t>Per le operazioni di cui alle lettere b-bis), c) e d) del medesimo comma 1 resta fermo l'obbligo di documentazione mediante il rilascio della ricevuta fiscale di cui all'</w:t>
      </w:r>
      <w:hyperlink r:id="rId10" w:history="1">
        <w:r w:rsidRPr="00235C90">
          <w:rPr>
            <w:rStyle w:val="Collegamentoipertestuale"/>
            <w:rFonts w:ascii="Verdana" w:eastAsiaTheme="majorEastAsia" w:hAnsi="Verdana" w:cs="Arial"/>
            <w:b/>
            <w:bCs/>
            <w:color w:val="AE1B13"/>
          </w:rPr>
          <w:t>art. 8 della legge 10 maggio 1976, n. 249</w:t>
        </w:r>
      </w:hyperlink>
      <w:r w:rsidRPr="00235C90">
        <w:rPr>
          <w:rFonts w:ascii="Verdana" w:hAnsi="Verdana" w:cs="Arial"/>
          <w:b/>
          <w:bCs/>
          <w:color w:val="434343"/>
        </w:rPr>
        <w:t>, ovvero dello scontrino fiscale di cui alla </w:t>
      </w:r>
      <w:hyperlink r:id="rId11" w:history="1">
        <w:r w:rsidRPr="00235C90">
          <w:rPr>
            <w:rStyle w:val="Collegamentoipertestuale"/>
            <w:rFonts w:ascii="Verdana" w:eastAsiaTheme="majorEastAsia" w:hAnsi="Verdana" w:cs="Arial"/>
            <w:b/>
            <w:bCs/>
            <w:color w:val="AE1B13"/>
          </w:rPr>
          <w:t>legge 26 gennaio 1983, n. 18</w:t>
        </w:r>
      </w:hyperlink>
      <w:r w:rsidRPr="00235C90">
        <w:rPr>
          <w:rFonts w:ascii="Verdana" w:hAnsi="Verdana" w:cs="Arial"/>
          <w:b/>
          <w:bCs/>
          <w:color w:val="434343"/>
        </w:rPr>
        <w:t>, con l'osservanza delle relative discipline.</w:t>
      </w:r>
    </w:p>
    <w:p w14:paraId="0C8DE8F8" w14:textId="77777777" w:rsidR="000B43FA" w:rsidRPr="00596B5B" w:rsidRDefault="000B43FA" w:rsidP="000B43FA">
      <w:pPr>
        <w:pStyle w:val="NormaleWeb"/>
        <w:shd w:val="clear" w:color="auto" w:fill="FFFFFF"/>
        <w:spacing w:before="150" w:beforeAutospacing="0" w:after="150" w:afterAutospacing="0" w:line="300" w:lineRule="atLeast"/>
        <w:rPr>
          <w:rFonts w:ascii="Verdana" w:hAnsi="Verdana" w:cs="Arial"/>
          <w:color w:val="434343"/>
        </w:rPr>
      </w:pPr>
      <w:r w:rsidRPr="00596B5B">
        <w:rPr>
          <w:rFonts w:ascii="Verdana" w:hAnsi="Verdana" w:cs="Arial"/>
          <w:color w:val="434343"/>
        </w:rPr>
        <w:t>3. I soggetti che effettuano le operazioni di cui al comma 1 possono comunque scegliere di memorizzare elettronicamente e trasmettere telematicamente i dati dei corrispettivi giornalieri di tali operazioni.</w:t>
      </w:r>
    </w:p>
    <w:p w14:paraId="3B2F3B4D" w14:textId="77777777" w:rsidR="000B43FA" w:rsidRPr="00DD4207" w:rsidRDefault="000B43FA" w:rsidP="000B43FA">
      <w:pPr>
        <w:pStyle w:val="NormaleWeb"/>
        <w:shd w:val="clear" w:color="auto" w:fill="FFFFFF"/>
        <w:spacing w:before="150" w:beforeAutospacing="0" w:after="150" w:afterAutospacing="0" w:line="300" w:lineRule="atLeast"/>
        <w:rPr>
          <w:rFonts w:ascii="Verdana" w:hAnsi="Verdana" w:cs="Arial"/>
          <w:color w:val="434343"/>
        </w:rPr>
      </w:pPr>
      <w:r w:rsidRPr="00596B5B">
        <w:rPr>
          <w:rFonts w:ascii="Verdana" w:hAnsi="Verdana" w:cs="Arial"/>
          <w:color w:val="434343"/>
        </w:rPr>
        <w:t>Pertanto, come abbiamo sempre consigliato nei ns. webinar, le ADV/TO devono verificare se possono essere soggette all’emissione del “documento commerciale” (tenendo conto delle esenzioni); qualora ne siano esonerate</w:t>
      </w:r>
      <w:r>
        <w:rPr>
          <w:rFonts w:ascii="Verdana" w:hAnsi="Verdana" w:cs="Arial"/>
          <w:color w:val="434343"/>
        </w:rPr>
        <w:t>, e quindi</w:t>
      </w:r>
      <w:r w:rsidRPr="00596B5B">
        <w:rPr>
          <w:rFonts w:ascii="Verdana" w:hAnsi="Verdana" w:cs="Arial"/>
          <w:color w:val="434343"/>
        </w:rPr>
        <w:t xml:space="preserve"> non obbligate ad installare il Registratore di cassa telematico, qualora utilizzassero uno o più POS per incassare le vendite generate dalla propria attività, dovranno </w:t>
      </w:r>
      <w:r>
        <w:rPr>
          <w:rFonts w:ascii="Verdana" w:hAnsi="Verdana" w:cs="Arial"/>
          <w:color w:val="434343"/>
        </w:rPr>
        <w:t xml:space="preserve">verificare se la loro </w:t>
      </w:r>
      <w:r w:rsidRPr="00DD4207">
        <w:rPr>
          <w:rFonts w:ascii="Verdana" w:hAnsi="Verdana" w:cs="Arial"/>
          <w:color w:val="434343"/>
        </w:rPr>
        <w:t>situazione ricade in una delle seguenti casistiche previste dall'Agenzia delle Entrate:</w:t>
      </w:r>
    </w:p>
    <w:p w14:paraId="1E02BE35" w14:textId="77777777" w:rsidR="000B43FA" w:rsidRPr="00DD4207" w:rsidRDefault="000B43FA" w:rsidP="000B43FA">
      <w:pPr>
        <w:pStyle w:val="NormaleWeb"/>
        <w:shd w:val="clear" w:color="auto" w:fill="FFFFFF"/>
        <w:spacing w:before="150" w:after="150" w:line="300" w:lineRule="atLeast"/>
        <w:rPr>
          <w:rFonts w:ascii="Verdana" w:hAnsi="Verdana" w:cs="Arial"/>
          <w:b/>
          <w:bCs/>
          <w:color w:val="434343"/>
        </w:rPr>
      </w:pPr>
      <w:r w:rsidRPr="00DD4207">
        <w:rPr>
          <w:rFonts w:ascii="Verdana" w:hAnsi="Verdana" w:cs="Arial"/>
          <w:b/>
          <w:bCs/>
          <w:color w:val="434343"/>
        </w:rPr>
        <w:t>1. Utilizzo della procedura "Documento Commerciale Online"</w:t>
      </w:r>
    </w:p>
    <w:p w14:paraId="6A47CACC" w14:textId="77777777" w:rsidR="000B43FA" w:rsidRPr="00DD4207" w:rsidRDefault="000B43FA" w:rsidP="000B43FA">
      <w:pPr>
        <w:pStyle w:val="NormaleWeb"/>
        <w:shd w:val="clear" w:color="auto" w:fill="FFFFFF"/>
        <w:spacing w:before="150" w:after="150" w:line="300" w:lineRule="atLeast"/>
        <w:rPr>
          <w:rFonts w:ascii="Verdana" w:hAnsi="Verdana" w:cs="Arial"/>
          <w:color w:val="434343"/>
        </w:rPr>
      </w:pPr>
      <w:r w:rsidRPr="00DD4207">
        <w:rPr>
          <w:rFonts w:ascii="Verdana" w:hAnsi="Verdana" w:cs="Arial"/>
          <w:color w:val="434343"/>
        </w:rPr>
        <w:t xml:space="preserve">Se non </w:t>
      </w:r>
      <w:r>
        <w:rPr>
          <w:rFonts w:ascii="Verdana" w:hAnsi="Verdana" w:cs="Arial"/>
          <w:color w:val="434343"/>
        </w:rPr>
        <w:t>si possiede un</w:t>
      </w:r>
      <w:r w:rsidRPr="00DD4207">
        <w:rPr>
          <w:rFonts w:ascii="Verdana" w:hAnsi="Verdana" w:cs="Arial"/>
          <w:color w:val="434343"/>
        </w:rPr>
        <w:t xml:space="preserve"> registratore</w:t>
      </w:r>
      <w:r>
        <w:rPr>
          <w:rFonts w:ascii="Verdana" w:hAnsi="Verdana" w:cs="Arial"/>
          <w:color w:val="434343"/>
        </w:rPr>
        <w:t xml:space="preserve"> di cassa</w:t>
      </w:r>
      <w:r w:rsidRPr="00DD4207">
        <w:rPr>
          <w:rFonts w:ascii="Verdana" w:hAnsi="Verdana" w:cs="Arial"/>
          <w:color w:val="434343"/>
        </w:rPr>
        <w:t xml:space="preserve"> fisico perché </w:t>
      </w:r>
      <w:r>
        <w:rPr>
          <w:rFonts w:ascii="Verdana" w:hAnsi="Verdana" w:cs="Arial"/>
          <w:color w:val="434343"/>
        </w:rPr>
        <w:t xml:space="preserve">si </w:t>
      </w:r>
      <w:r w:rsidRPr="00DD4207">
        <w:rPr>
          <w:rFonts w:ascii="Verdana" w:hAnsi="Verdana" w:cs="Arial"/>
          <w:color w:val="434343"/>
        </w:rPr>
        <w:t>emett</w:t>
      </w:r>
      <w:r>
        <w:rPr>
          <w:rFonts w:ascii="Verdana" w:hAnsi="Verdana" w:cs="Arial"/>
          <w:color w:val="434343"/>
        </w:rPr>
        <w:t>ono</w:t>
      </w:r>
      <w:r w:rsidRPr="00DD4207">
        <w:rPr>
          <w:rFonts w:ascii="Verdana" w:hAnsi="Verdana" w:cs="Arial"/>
          <w:color w:val="434343"/>
        </w:rPr>
        <w:t xml:space="preserve"> pochi scontrini e</w:t>
      </w:r>
      <w:r>
        <w:rPr>
          <w:rFonts w:ascii="Verdana" w:hAnsi="Verdana" w:cs="Arial"/>
          <w:color w:val="434343"/>
        </w:rPr>
        <w:t xml:space="preserve"> si</w:t>
      </w:r>
      <w:r w:rsidRPr="00DD4207">
        <w:rPr>
          <w:rFonts w:ascii="Verdana" w:hAnsi="Verdana" w:cs="Arial"/>
          <w:color w:val="434343"/>
        </w:rPr>
        <w:t xml:space="preserve"> utiliz</w:t>
      </w:r>
      <w:r>
        <w:rPr>
          <w:rFonts w:ascii="Verdana" w:hAnsi="Verdana" w:cs="Arial"/>
          <w:color w:val="434343"/>
        </w:rPr>
        <w:t>za</w:t>
      </w:r>
      <w:r w:rsidRPr="00DD4207">
        <w:rPr>
          <w:rFonts w:ascii="Verdana" w:hAnsi="Verdana" w:cs="Arial"/>
          <w:color w:val="434343"/>
        </w:rPr>
        <w:t xml:space="preserve"> il servizio gratuito "Documento commerciale online" sul sito dell'Agenzia, ai fini della norma questo è considerato lo strumento di certificazione. In questo caso, s</w:t>
      </w:r>
      <w:r>
        <w:rPr>
          <w:rFonts w:ascii="Verdana" w:hAnsi="Verdana" w:cs="Arial"/>
          <w:color w:val="434343"/>
        </w:rPr>
        <w:t>i è</w:t>
      </w:r>
      <w:r w:rsidRPr="00DD4207">
        <w:rPr>
          <w:rFonts w:ascii="Verdana" w:hAnsi="Verdana" w:cs="Arial"/>
          <w:color w:val="434343"/>
        </w:rPr>
        <w:t xml:space="preserve"> comunque tenuto a effettuare il collegamento logico tra il tuo POS e la procedura web.</w:t>
      </w:r>
    </w:p>
    <w:p w14:paraId="5F3BE241" w14:textId="77777777" w:rsidR="000B43FA" w:rsidRPr="00DD4207" w:rsidRDefault="000B43FA" w:rsidP="000B43FA">
      <w:pPr>
        <w:pStyle w:val="NormaleWeb"/>
        <w:shd w:val="clear" w:color="auto" w:fill="FFFFFF"/>
        <w:spacing w:before="150" w:after="150" w:line="300" w:lineRule="atLeast"/>
        <w:rPr>
          <w:rFonts w:ascii="Verdana" w:hAnsi="Verdana" w:cs="Arial"/>
          <w:b/>
          <w:bCs/>
          <w:color w:val="434343"/>
        </w:rPr>
      </w:pPr>
      <w:r w:rsidRPr="00DD4207">
        <w:rPr>
          <w:rFonts w:ascii="Verdana" w:hAnsi="Verdana" w:cs="Arial"/>
          <w:color w:val="434343"/>
        </w:rPr>
        <w:t xml:space="preserve"> </w:t>
      </w:r>
      <w:r w:rsidRPr="00DD4207">
        <w:rPr>
          <w:rFonts w:ascii="Verdana" w:hAnsi="Verdana" w:cs="Arial"/>
          <w:b/>
          <w:bCs/>
          <w:color w:val="434343"/>
        </w:rPr>
        <w:t xml:space="preserve">2. </w:t>
      </w:r>
      <w:r>
        <w:rPr>
          <w:rFonts w:ascii="Verdana" w:hAnsi="Verdana" w:cs="Arial"/>
          <w:b/>
          <w:bCs/>
          <w:color w:val="434343"/>
        </w:rPr>
        <w:t xml:space="preserve">Mancanza del Registratore telematico e </w:t>
      </w:r>
      <w:r w:rsidRPr="00DD4207">
        <w:rPr>
          <w:rFonts w:ascii="Verdana" w:hAnsi="Verdana" w:cs="Arial"/>
          <w:b/>
          <w:bCs/>
          <w:color w:val="434343"/>
        </w:rPr>
        <w:t>Segnalazione di "Mancato Collegamento"</w:t>
      </w:r>
    </w:p>
    <w:p w14:paraId="1763B1E8" w14:textId="77777777" w:rsidR="000B43FA" w:rsidRPr="00DD4207" w:rsidRDefault="000B43FA" w:rsidP="000B43FA">
      <w:pPr>
        <w:pStyle w:val="NormaleWeb"/>
        <w:shd w:val="clear" w:color="auto" w:fill="FFFFFF"/>
        <w:spacing w:before="150" w:after="150" w:line="300" w:lineRule="atLeast"/>
        <w:rPr>
          <w:rFonts w:ascii="Verdana" w:hAnsi="Verdana" w:cs="Arial"/>
          <w:color w:val="434343"/>
        </w:rPr>
      </w:pPr>
      <w:r w:rsidRPr="00DD4207">
        <w:rPr>
          <w:rFonts w:ascii="Verdana" w:hAnsi="Verdana" w:cs="Arial"/>
          <w:color w:val="434343"/>
        </w:rPr>
        <w:t xml:space="preserve">Se invece non </w:t>
      </w:r>
      <w:r>
        <w:rPr>
          <w:rFonts w:ascii="Verdana" w:hAnsi="Verdana" w:cs="Arial"/>
          <w:color w:val="434343"/>
        </w:rPr>
        <w:t>si possiede</w:t>
      </w:r>
      <w:r w:rsidRPr="00DD4207">
        <w:rPr>
          <w:rFonts w:ascii="Verdana" w:hAnsi="Verdana" w:cs="Arial"/>
          <w:color w:val="434343"/>
        </w:rPr>
        <w:t xml:space="preserve"> un registratore</w:t>
      </w:r>
      <w:r>
        <w:rPr>
          <w:rFonts w:ascii="Verdana" w:hAnsi="Verdana" w:cs="Arial"/>
          <w:color w:val="434343"/>
        </w:rPr>
        <w:t xml:space="preserve"> telematico</w:t>
      </w:r>
      <w:r w:rsidRPr="00DD4207">
        <w:rPr>
          <w:rFonts w:ascii="Verdana" w:hAnsi="Verdana" w:cs="Arial"/>
          <w:color w:val="434343"/>
        </w:rPr>
        <w:t xml:space="preserve"> di cassa perché l</w:t>
      </w:r>
      <w:r>
        <w:rPr>
          <w:rFonts w:ascii="Verdana" w:hAnsi="Verdana" w:cs="Arial"/>
          <w:color w:val="434343"/>
        </w:rPr>
        <w:t>’</w:t>
      </w:r>
      <w:r w:rsidRPr="00DD4207">
        <w:rPr>
          <w:rFonts w:ascii="Verdana" w:hAnsi="Verdana" w:cs="Arial"/>
          <w:color w:val="434343"/>
        </w:rPr>
        <w:t>attività non è tenuta a emettere documenti commerciali (</w:t>
      </w:r>
      <w:r>
        <w:rPr>
          <w:rFonts w:ascii="Verdana" w:hAnsi="Verdana" w:cs="Arial"/>
          <w:color w:val="434343"/>
        </w:rPr>
        <w:t xml:space="preserve">ex </w:t>
      </w:r>
      <w:r w:rsidRPr="00DD4207">
        <w:rPr>
          <w:rFonts w:ascii="Verdana" w:hAnsi="Verdana" w:cs="Arial"/>
          <w:color w:val="434343"/>
        </w:rPr>
        <w:t xml:space="preserve">scontrini) — ad esempio perché </w:t>
      </w:r>
      <w:r>
        <w:rPr>
          <w:rFonts w:ascii="Verdana" w:hAnsi="Verdana" w:cs="Arial"/>
          <w:color w:val="434343"/>
        </w:rPr>
        <w:t xml:space="preserve">si </w:t>
      </w:r>
      <w:r w:rsidRPr="00DD4207">
        <w:rPr>
          <w:rFonts w:ascii="Verdana" w:hAnsi="Verdana" w:cs="Arial"/>
          <w:color w:val="434343"/>
        </w:rPr>
        <w:t>emett</w:t>
      </w:r>
      <w:r>
        <w:rPr>
          <w:rFonts w:ascii="Verdana" w:hAnsi="Verdana" w:cs="Arial"/>
          <w:color w:val="434343"/>
        </w:rPr>
        <w:t>ono</w:t>
      </w:r>
      <w:r w:rsidRPr="00DD4207">
        <w:rPr>
          <w:rFonts w:ascii="Verdana" w:hAnsi="Verdana" w:cs="Arial"/>
          <w:color w:val="434343"/>
        </w:rPr>
        <w:t xml:space="preserve"> fatture </w:t>
      </w:r>
      <w:r>
        <w:rPr>
          <w:rFonts w:ascii="Verdana" w:hAnsi="Verdana" w:cs="Arial"/>
          <w:color w:val="434343"/>
        </w:rPr>
        <w:t xml:space="preserve">anche per i corrispettivi </w:t>
      </w:r>
      <w:r w:rsidRPr="00DD4207">
        <w:rPr>
          <w:rFonts w:ascii="Verdana" w:hAnsi="Verdana" w:cs="Arial"/>
          <w:color w:val="434343"/>
        </w:rPr>
        <w:t>o</w:t>
      </w:r>
      <w:r>
        <w:rPr>
          <w:rFonts w:ascii="Verdana" w:hAnsi="Verdana" w:cs="Arial"/>
          <w:color w:val="434343"/>
        </w:rPr>
        <w:t>vvero si</w:t>
      </w:r>
      <w:r w:rsidRPr="00DD4207">
        <w:rPr>
          <w:rFonts w:ascii="Verdana" w:hAnsi="Verdana" w:cs="Arial"/>
          <w:color w:val="434343"/>
        </w:rPr>
        <w:t xml:space="preserve"> oper</w:t>
      </w:r>
      <w:r>
        <w:rPr>
          <w:rFonts w:ascii="Verdana" w:hAnsi="Verdana" w:cs="Arial"/>
          <w:color w:val="434343"/>
        </w:rPr>
        <w:t>a</w:t>
      </w:r>
      <w:r w:rsidRPr="00DD4207">
        <w:rPr>
          <w:rFonts w:ascii="Verdana" w:hAnsi="Verdana" w:cs="Arial"/>
          <w:color w:val="434343"/>
        </w:rPr>
        <w:t xml:space="preserve"> in settori esonerati — </w:t>
      </w:r>
      <w:r>
        <w:rPr>
          <w:rFonts w:ascii="Verdana" w:hAnsi="Verdana" w:cs="Arial"/>
          <w:color w:val="434343"/>
        </w:rPr>
        <w:t>si può</w:t>
      </w:r>
      <w:r w:rsidRPr="00DD4207">
        <w:rPr>
          <w:rFonts w:ascii="Verdana" w:hAnsi="Verdana" w:cs="Arial"/>
          <w:color w:val="434343"/>
        </w:rPr>
        <w:t xml:space="preserve"> comunicar</w:t>
      </w:r>
      <w:r>
        <w:rPr>
          <w:rFonts w:ascii="Verdana" w:hAnsi="Verdana" w:cs="Arial"/>
          <w:color w:val="434343"/>
        </w:rPr>
        <w:t>e</w:t>
      </w:r>
      <w:r w:rsidRPr="00DD4207">
        <w:rPr>
          <w:rFonts w:ascii="Verdana" w:hAnsi="Verdana" w:cs="Arial"/>
          <w:color w:val="434343"/>
        </w:rPr>
        <w:t xml:space="preserve"> ufficialmente tramite il portale “Fatture e Corrispettivi”.</w:t>
      </w:r>
    </w:p>
    <w:p w14:paraId="66ACC009" w14:textId="77777777" w:rsidR="000B43FA" w:rsidRPr="00F35A17" w:rsidRDefault="000B43FA" w:rsidP="000B43FA">
      <w:pPr>
        <w:pStyle w:val="NormaleWeb"/>
        <w:shd w:val="clear" w:color="auto" w:fill="FFFFFF"/>
        <w:spacing w:before="150" w:after="150" w:line="300" w:lineRule="atLeast"/>
        <w:rPr>
          <w:rFonts w:ascii="Verdana" w:hAnsi="Verdana" w:cs="Arial"/>
          <w:b/>
          <w:bCs/>
          <w:color w:val="434343"/>
        </w:rPr>
      </w:pPr>
      <w:r w:rsidRPr="00F35A17">
        <w:rPr>
          <w:rFonts w:ascii="Verdana" w:hAnsi="Verdana" w:cs="Arial"/>
          <w:b/>
          <w:bCs/>
          <w:color w:val="434343"/>
        </w:rPr>
        <w:t>Come comunicare all'ADE che non si può collegare il POS:</w:t>
      </w:r>
    </w:p>
    <w:p w14:paraId="0C50004D" w14:textId="77777777" w:rsidR="000B43FA" w:rsidRPr="00DD4207" w:rsidRDefault="000B43FA" w:rsidP="000B43FA">
      <w:pPr>
        <w:pStyle w:val="NormaleWeb"/>
        <w:shd w:val="clear" w:color="auto" w:fill="FFFFFF"/>
        <w:spacing w:before="150" w:after="150" w:line="300" w:lineRule="atLeast"/>
        <w:rPr>
          <w:rFonts w:ascii="Verdana" w:hAnsi="Verdana" w:cs="Arial"/>
          <w:color w:val="434343"/>
        </w:rPr>
      </w:pPr>
      <w:r w:rsidRPr="00DD4207">
        <w:rPr>
          <w:rFonts w:ascii="Verdana" w:hAnsi="Verdana" w:cs="Arial"/>
          <w:color w:val="434343"/>
        </w:rPr>
        <w:lastRenderedPageBreak/>
        <w:t>•</w:t>
      </w:r>
      <w:r w:rsidRPr="00DD4207">
        <w:rPr>
          <w:rFonts w:ascii="Verdana" w:hAnsi="Verdana" w:cs="Arial"/>
          <w:color w:val="434343"/>
        </w:rPr>
        <w:tab/>
        <w:t>A partire dal 5 marzo 2026, accedendo alla procedura</w:t>
      </w:r>
      <w:r>
        <w:rPr>
          <w:rFonts w:ascii="Verdana" w:hAnsi="Verdana" w:cs="Arial"/>
          <w:color w:val="434343"/>
        </w:rPr>
        <w:t xml:space="preserve"> presente nel Portale “Fatture e Corrispettivi” della propria Aziende</w:t>
      </w:r>
      <w:r w:rsidRPr="00DD4207">
        <w:rPr>
          <w:rFonts w:ascii="Verdana" w:hAnsi="Verdana" w:cs="Arial"/>
          <w:color w:val="434343"/>
        </w:rPr>
        <w:t xml:space="preserve">, </w:t>
      </w:r>
      <w:r>
        <w:rPr>
          <w:rFonts w:ascii="Verdana" w:hAnsi="Verdana" w:cs="Arial"/>
          <w:color w:val="434343"/>
        </w:rPr>
        <w:t xml:space="preserve">si </w:t>
      </w:r>
      <w:r w:rsidRPr="00DD4207">
        <w:rPr>
          <w:rFonts w:ascii="Verdana" w:hAnsi="Verdana" w:cs="Arial"/>
          <w:color w:val="434343"/>
        </w:rPr>
        <w:t>trov</w:t>
      </w:r>
      <w:r>
        <w:rPr>
          <w:rFonts w:ascii="Verdana" w:hAnsi="Verdana" w:cs="Arial"/>
          <w:color w:val="434343"/>
        </w:rPr>
        <w:t>a</w:t>
      </w:r>
      <w:r w:rsidRPr="00DD4207">
        <w:rPr>
          <w:rFonts w:ascii="Verdana" w:hAnsi="Verdana" w:cs="Arial"/>
          <w:color w:val="434343"/>
        </w:rPr>
        <w:t xml:space="preserve"> l'elenco dei POS </w:t>
      </w:r>
      <w:r>
        <w:rPr>
          <w:rFonts w:ascii="Verdana" w:hAnsi="Verdana" w:cs="Arial"/>
          <w:color w:val="434343"/>
        </w:rPr>
        <w:t>intestati ed utilizzati per gli incassi della propria attività</w:t>
      </w:r>
      <w:r w:rsidRPr="00DD4207">
        <w:rPr>
          <w:rFonts w:ascii="Verdana" w:hAnsi="Verdana" w:cs="Arial"/>
          <w:color w:val="434343"/>
        </w:rPr>
        <w:t>.</w:t>
      </w:r>
    </w:p>
    <w:p w14:paraId="74283414" w14:textId="77777777" w:rsidR="000B43FA" w:rsidRPr="00DD4207" w:rsidRDefault="000B43FA" w:rsidP="000B43FA">
      <w:pPr>
        <w:pStyle w:val="NormaleWeb"/>
        <w:shd w:val="clear" w:color="auto" w:fill="FFFFFF"/>
        <w:spacing w:before="150" w:after="150" w:line="300" w:lineRule="atLeast"/>
        <w:rPr>
          <w:rFonts w:ascii="Verdana" w:hAnsi="Verdana" w:cs="Arial"/>
          <w:color w:val="434343"/>
        </w:rPr>
      </w:pPr>
      <w:r w:rsidRPr="00DD4207">
        <w:rPr>
          <w:rFonts w:ascii="Verdana" w:hAnsi="Verdana" w:cs="Arial"/>
          <w:color w:val="434343"/>
        </w:rPr>
        <w:t>•</w:t>
      </w:r>
      <w:r w:rsidRPr="00DD4207">
        <w:rPr>
          <w:rFonts w:ascii="Verdana" w:hAnsi="Verdana" w:cs="Arial"/>
          <w:color w:val="434343"/>
        </w:rPr>
        <w:tab/>
      </w:r>
      <w:r>
        <w:rPr>
          <w:rFonts w:ascii="Verdana" w:hAnsi="Verdana" w:cs="Arial"/>
          <w:color w:val="434343"/>
        </w:rPr>
        <w:t>Entrando nella Voce (elenco a sinistra della pagina) “Collegamento Dispositivi – POS”  si trova la sotto-voce “POS non collegati” ed a</w:t>
      </w:r>
      <w:r w:rsidRPr="00DD4207">
        <w:rPr>
          <w:rFonts w:ascii="Verdana" w:hAnsi="Verdana" w:cs="Arial"/>
          <w:color w:val="434343"/>
        </w:rPr>
        <w:t xml:space="preserve">ccanto al POS non collegato, </w:t>
      </w:r>
      <w:r>
        <w:rPr>
          <w:rFonts w:ascii="Verdana" w:hAnsi="Verdana" w:cs="Arial"/>
          <w:color w:val="434343"/>
        </w:rPr>
        <w:t xml:space="preserve">si </w:t>
      </w:r>
      <w:r w:rsidRPr="00DD4207">
        <w:rPr>
          <w:rFonts w:ascii="Verdana" w:hAnsi="Verdana" w:cs="Arial"/>
          <w:color w:val="434343"/>
        </w:rPr>
        <w:t>trov</w:t>
      </w:r>
      <w:r>
        <w:rPr>
          <w:rFonts w:ascii="Verdana" w:hAnsi="Verdana" w:cs="Arial"/>
          <w:color w:val="434343"/>
        </w:rPr>
        <w:t>a</w:t>
      </w:r>
      <w:r w:rsidRPr="00DD4207">
        <w:rPr>
          <w:rFonts w:ascii="Verdana" w:hAnsi="Verdana" w:cs="Arial"/>
          <w:color w:val="434343"/>
        </w:rPr>
        <w:t xml:space="preserve"> un'icona (rappresentata da un lucchetto) che permette di segnalare il motivo del mancato collegamento.</w:t>
      </w:r>
    </w:p>
    <w:p w14:paraId="4562E69D" w14:textId="77777777" w:rsidR="000B43FA" w:rsidRPr="00DD4207" w:rsidRDefault="000B43FA" w:rsidP="000B43FA">
      <w:pPr>
        <w:pStyle w:val="NormaleWeb"/>
        <w:shd w:val="clear" w:color="auto" w:fill="FFFFFF"/>
        <w:spacing w:before="150" w:after="150" w:line="300" w:lineRule="atLeast"/>
        <w:rPr>
          <w:rFonts w:ascii="Verdana" w:hAnsi="Verdana" w:cs="Arial"/>
          <w:color w:val="434343"/>
        </w:rPr>
      </w:pPr>
      <w:r w:rsidRPr="00DD4207">
        <w:rPr>
          <w:rFonts w:ascii="Verdana" w:hAnsi="Verdana" w:cs="Arial"/>
          <w:color w:val="434343"/>
        </w:rPr>
        <w:t>•</w:t>
      </w:r>
      <w:r w:rsidRPr="00DD4207">
        <w:rPr>
          <w:rFonts w:ascii="Verdana" w:hAnsi="Verdana" w:cs="Arial"/>
          <w:color w:val="434343"/>
        </w:rPr>
        <w:tab/>
        <w:t>Tra le motivazioni che potrai selezionare ci sono:</w:t>
      </w:r>
    </w:p>
    <w:p w14:paraId="7E35FEE8" w14:textId="77777777" w:rsidR="000B43FA" w:rsidRPr="00DD4207" w:rsidRDefault="000B43FA" w:rsidP="000B43FA">
      <w:pPr>
        <w:pStyle w:val="NormaleWeb"/>
        <w:shd w:val="clear" w:color="auto" w:fill="FFFFFF"/>
        <w:spacing w:before="150" w:after="150" w:line="300" w:lineRule="atLeast"/>
        <w:rPr>
          <w:rFonts w:ascii="Verdana" w:hAnsi="Verdana" w:cs="Arial"/>
          <w:color w:val="434343"/>
        </w:rPr>
      </w:pPr>
      <w:r w:rsidRPr="00DD4207">
        <w:rPr>
          <w:rFonts w:ascii="Verdana" w:hAnsi="Verdana" w:cs="Arial"/>
          <w:color w:val="434343"/>
        </w:rPr>
        <w:t>o</w:t>
      </w:r>
      <w:r w:rsidRPr="00DD4207">
        <w:rPr>
          <w:rFonts w:ascii="Verdana" w:hAnsi="Verdana" w:cs="Arial"/>
          <w:color w:val="434343"/>
        </w:rPr>
        <w:tab/>
        <w:t>Il POS è utilizzato esclusivamente per operazioni certificate tramite fattura.</w:t>
      </w:r>
    </w:p>
    <w:p w14:paraId="7880FD5E" w14:textId="77777777" w:rsidR="000B43FA" w:rsidRPr="00DD4207" w:rsidRDefault="000B43FA" w:rsidP="000B43FA">
      <w:pPr>
        <w:pStyle w:val="NormaleWeb"/>
        <w:shd w:val="clear" w:color="auto" w:fill="FFFFFF"/>
        <w:spacing w:before="150" w:after="150" w:line="300" w:lineRule="atLeast"/>
        <w:rPr>
          <w:rFonts w:ascii="Verdana" w:hAnsi="Verdana" w:cs="Arial"/>
          <w:color w:val="434343"/>
        </w:rPr>
      </w:pPr>
      <w:r w:rsidRPr="00DD4207">
        <w:rPr>
          <w:rFonts w:ascii="Verdana" w:hAnsi="Verdana" w:cs="Arial"/>
          <w:color w:val="434343"/>
        </w:rPr>
        <w:t>o</w:t>
      </w:r>
      <w:r w:rsidRPr="00DD4207">
        <w:rPr>
          <w:rFonts w:ascii="Verdana" w:hAnsi="Verdana" w:cs="Arial"/>
          <w:color w:val="434343"/>
        </w:rPr>
        <w:tab/>
        <w:t>Il POS è utilizzato per operazioni esonerate dall'obbligo di scontrino (es. tabacchi, carburanti, o attività previste dal DM 10/05/2019</w:t>
      </w:r>
      <w:r>
        <w:rPr>
          <w:rFonts w:ascii="Verdana" w:hAnsi="Verdana" w:cs="Arial"/>
          <w:color w:val="434343"/>
        </w:rPr>
        <w:t>, come ADV/TO</w:t>
      </w:r>
      <w:r w:rsidRPr="00DD4207">
        <w:rPr>
          <w:rFonts w:ascii="Verdana" w:hAnsi="Verdana" w:cs="Arial"/>
          <w:color w:val="434343"/>
        </w:rPr>
        <w:t>).</w:t>
      </w:r>
    </w:p>
    <w:p w14:paraId="0784FF5B" w14:textId="77777777" w:rsidR="000B43FA" w:rsidRPr="00DD4207" w:rsidRDefault="000B43FA" w:rsidP="000B43FA">
      <w:pPr>
        <w:pStyle w:val="NormaleWeb"/>
        <w:shd w:val="clear" w:color="auto" w:fill="FFFFFF"/>
        <w:spacing w:before="150" w:after="150" w:line="300" w:lineRule="atLeast"/>
        <w:rPr>
          <w:rFonts w:ascii="Verdana" w:hAnsi="Verdana" w:cs="Arial"/>
          <w:color w:val="434343"/>
        </w:rPr>
      </w:pPr>
      <w:r w:rsidRPr="00DD4207">
        <w:rPr>
          <w:rFonts w:ascii="Verdana" w:hAnsi="Verdana" w:cs="Arial"/>
          <w:color w:val="434343"/>
        </w:rPr>
        <w:t>o</w:t>
      </w:r>
      <w:r w:rsidRPr="00DD4207">
        <w:rPr>
          <w:rFonts w:ascii="Verdana" w:hAnsi="Verdana" w:cs="Arial"/>
          <w:color w:val="434343"/>
        </w:rPr>
        <w:tab/>
        <w:t>Il POS non è più in uso, è rotto o è stato restituito.</w:t>
      </w:r>
    </w:p>
    <w:p w14:paraId="1444F172" w14:textId="77777777" w:rsidR="000B43FA" w:rsidRPr="00F35A17" w:rsidRDefault="000B43FA" w:rsidP="000B43FA">
      <w:pPr>
        <w:pStyle w:val="NormaleWeb"/>
        <w:shd w:val="clear" w:color="auto" w:fill="FFFFFF"/>
        <w:spacing w:before="150" w:after="150" w:line="300" w:lineRule="atLeast"/>
        <w:rPr>
          <w:rFonts w:ascii="Verdana" w:hAnsi="Verdana" w:cs="Arial"/>
          <w:b/>
          <w:bCs/>
          <w:color w:val="434343"/>
        </w:rPr>
      </w:pPr>
      <w:r w:rsidRPr="00F35A17">
        <w:rPr>
          <w:rFonts w:ascii="Verdana" w:hAnsi="Verdana" w:cs="Arial"/>
          <w:b/>
          <w:bCs/>
          <w:color w:val="434343"/>
        </w:rPr>
        <w:t>3. Esenzione dall'obbligo</w:t>
      </w:r>
    </w:p>
    <w:p w14:paraId="33EF5C69" w14:textId="77777777" w:rsidR="000B43FA" w:rsidRPr="00DD4207" w:rsidRDefault="000B43FA" w:rsidP="000B43FA">
      <w:pPr>
        <w:pStyle w:val="NormaleWeb"/>
        <w:shd w:val="clear" w:color="auto" w:fill="FFFFFF"/>
        <w:spacing w:before="150" w:after="150" w:line="300" w:lineRule="atLeast"/>
        <w:rPr>
          <w:rFonts w:ascii="Verdana" w:hAnsi="Verdana" w:cs="Arial"/>
          <w:color w:val="434343"/>
        </w:rPr>
      </w:pPr>
      <w:r w:rsidRPr="00DD4207">
        <w:rPr>
          <w:rFonts w:ascii="Verdana" w:hAnsi="Verdana" w:cs="Arial"/>
          <w:color w:val="434343"/>
        </w:rPr>
        <w:t>Se</w:t>
      </w:r>
      <w:r>
        <w:rPr>
          <w:rFonts w:ascii="Verdana" w:hAnsi="Verdana" w:cs="Arial"/>
          <w:color w:val="434343"/>
        </w:rPr>
        <w:t xml:space="preserve"> ritenete che</w:t>
      </w:r>
      <w:r w:rsidRPr="00DD4207">
        <w:rPr>
          <w:rFonts w:ascii="Verdana" w:hAnsi="Verdana" w:cs="Arial"/>
          <w:color w:val="434343"/>
        </w:rPr>
        <w:t xml:space="preserve"> la</w:t>
      </w:r>
      <w:r>
        <w:rPr>
          <w:rFonts w:ascii="Verdana" w:hAnsi="Verdana" w:cs="Arial"/>
          <w:color w:val="434343"/>
        </w:rPr>
        <w:t xml:space="preserve"> Vs. </w:t>
      </w:r>
      <w:r w:rsidRPr="00DD4207">
        <w:rPr>
          <w:rFonts w:ascii="Verdana" w:hAnsi="Verdana" w:cs="Arial"/>
          <w:color w:val="434343"/>
        </w:rPr>
        <w:t>attività rientra tra quelle totalmente esonerate dall'obbligo di memorizzazione e trasmissione dei corrispettivi</w:t>
      </w:r>
      <w:r>
        <w:rPr>
          <w:rFonts w:ascii="Verdana" w:hAnsi="Verdana" w:cs="Arial"/>
          <w:color w:val="434343"/>
        </w:rPr>
        <w:t xml:space="preserve"> (una valida motivazione può essere quella che l’ADV emette solo e per tutte le operazioni di vendita solo Fatture!)</w:t>
      </w:r>
      <w:r w:rsidRPr="00DD4207">
        <w:rPr>
          <w:rFonts w:ascii="Verdana" w:hAnsi="Verdana" w:cs="Arial"/>
          <w:color w:val="434343"/>
        </w:rPr>
        <w:t>, non s</w:t>
      </w:r>
      <w:r>
        <w:rPr>
          <w:rFonts w:ascii="Verdana" w:hAnsi="Verdana" w:cs="Arial"/>
          <w:color w:val="434343"/>
        </w:rPr>
        <w:t>iete</w:t>
      </w:r>
      <w:r w:rsidRPr="00DD4207">
        <w:rPr>
          <w:rFonts w:ascii="Verdana" w:hAnsi="Verdana" w:cs="Arial"/>
          <w:color w:val="434343"/>
        </w:rPr>
        <w:t xml:space="preserve"> tenut</w:t>
      </w:r>
      <w:r>
        <w:rPr>
          <w:rFonts w:ascii="Verdana" w:hAnsi="Verdana" w:cs="Arial"/>
          <w:color w:val="434343"/>
        </w:rPr>
        <w:t>i</w:t>
      </w:r>
      <w:r w:rsidRPr="00DD4207">
        <w:rPr>
          <w:rFonts w:ascii="Verdana" w:hAnsi="Verdana" w:cs="Arial"/>
          <w:color w:val="434343"/>
        </w:rPr>
        <w:t xml:space="preserve"> a effettuare alcun collegamento. La segnalazione tramite il portale sopra descritta è una facoltà dell'esercente per fornire trasparenza all'Agenzia, ma non è strettamente obbligatoria se l'esonero è totale.</w:t>
      </w:r>
    </w:p>
    <w:p w14:paraId="00B8F241" w14:textId="77777777" w:rsidR="000B43FA" w:rsidRDefault="000B43FA" w:rsidP="000B43FA">
      <w:pPr>
        <w:pStyle w:val="NormaleWeb"/>
        <w:shd w:val="clear" w:color="auto" w:fill="FFFFFF"/>
        <w:spacing w:before="150" w:after="150" w:line="300" w:lineRule="atLeast"/>
        <w:rPr>
          <w:rFonts w:ascii="Verdana" w:hAnsi="Verdana" w:cs="Arial"/>
          <w:color w:val="434343"/>
        </w:rPr>
      </w:pPr>
      <w:r w:rsidRPr="00DD4207">
        <w:rPr>
          <w:rFonts w:ascii="Verdana" w:hAnsi="Verdana" w:cs="Arial"/>
          <w:color w:val="434343"/>
        </w:rPr>
        <w:t>In sintesi: Se incass</w:t>
      </w:r>
      <w:r>
        <w:rPr>
          <w:rFonts w:ascii="Verdana" w:hAnsi="Verdana" w:cs="Arial"/>
          <w:color w:val="434343"/>
        </w:rPr>
        <w:t>ate</w:t>
      </w:r>
      <w:r w:rsidRPr="00DD4207">
        <w:rPr>
          <w:rFonts w:ascii="Verdana" w:hAnsi="Verdana" w:cs="Arial"/>
          <w:color w:val="434343"/>
        </w:rPr>
        <w:t xml:space="preserve"> tramite POS ma non </w:t>
      </w:r>
      <w:r>
        <w:rPr>
          <w:rFonts w:ascii="Verdana" w:hAnsi="Verdana" w:cs="Arial"/>
          <w:color w:val="434343"/>
        </w:rPr>
        <w:t>avete</w:t>
      </w:r>
      <w:r w:rsidRPr="00DD4207">
        <w:rPr>
          <w:rFonts w:ascii="Verdana" w:hAnsi="Verdana" w:cs="Arial"/>
          <w:color w:val="434343"/>
        </w:rPr>
        <w:t xml:space="preserve"> un RT fisico, d</w:t>
      </w:r>
      <w:r>
        <w:rPr>
          <w:rFonts w:ascii="Verdana" w:hAnsi="Verdana" w:cs="Arial"/>
          <w:color w:val="434343"/>
        </w:rPr>
        <w:t>o</w:t>
      </w:r>
      <w:r w:rsidRPr="00DD4207">
        <w:rPr>
          <w:rFonts w:ascii="Verdana" w:hAnsi="Verdana" w:cs="Arial"/>
          <w:color w:val="434343"/>
        </w:rPr>
        <w:t>v</w:t>
      </w:r>
      <w:r>
        <w:rPr>
          <w:rFonts w:ascii="Verdana" w:hAnsi="Verdana" w:cs="Arial"/>
          <w:color w:val="434343"/>
        </w:rPr>
        <w:t>ete</w:t>
      </w:r>
      <w:r w:rsidRPr="00DD4207">
        <w:rPr>
          <w:rFonts w:ascii="Verdana" w:hAnsi="Verdana" w:cs="Arial"/>
          <w:color w:val="434343"/>
        </w:rPr>
        <w:t xml:space="preserve"> comunque entrare nel portale dal 5 marzo per collegarlo alla procedura web (se </w:t>
      </w:r>
      <w:r>
        <w:rPr>
          <w:rFonts w:ascii="Verdana" w:hAnsi="Verdana" w:cs="Arial"/>
          <w:color w:val="434343"/>
        </w:rPr>
        <w:t>viene utilizzata per emettere il “Documento commerciale”</w:t>
      </w:r>
      <w:r w:rsidRPr="00DD4207">
        <w:rPr>
          <w:rFonts w:ascii="Verdana" w:hAnsi="Verdana" w:cs="Arial"/>
          <w:color w:val="434343"/>
        </w:rPr>
        <w:t>) oppure per segnalare il motivo del mancato collegamento</w:t>
      </w:r>
      <w:r>
        <w:rPr>
          <w:rFonts w:ascii="Verdana" w:hAnsi="Verdana" w:cs="Arial"/>
          <w:color w:val="434343"/>
        </w:rPr>
        <w:t>.</w:t>
      </w:r>
    </w:p>
    <w:p w14:paraId="52324D60" w14:textId="77777777" w:rsidR="000B43FA" w:rsidRDefault="000B43FA" w:rsidP="000B43FA">
      <w:pPr>
        <w:pStyle w:val="NormaleWeb"/>
        <w:shd w:val="clear" w:color="auto" w:fill="FFFFFF"/>
        <w:spacing w:before="150" w:after="150" w:line="300" w:lineRule="atLeast"/>
        <w:rPr>
          <w:rFonts w:ascii="Verdana" w:hAnsi="Verdana" w:cs="Arial"/>
          <w:color w:val="434343"/>
        </w:rPr>
      </w:pPr>
    </w:p>
    <w:p w14:paraId="6ECF4AB1" w14:textId="77777777" w:rsidR="000B43FA" w:rsidRPr="00DD4207" w:rsidRDefault="000B43FA" w:rsidP="000B43FA">
      <w:pPr>
        <w:pStyle w:val="NormaleWeb"/>
        <w:shd w:val="clear" w:color="auto" w:fill="FFFFFF"/>
        <w:spacing w:before="150" w:after="150" w:line="300" w:lineRule="atLeast"/>
        <w:rPr>
          <w:rFonts w:ascii="Verdana" w:hAnsi="Verdana" w:cs="Arial"/>
          <w:color w:val="434343"/>
        </w:rPr>
      </w:pPr>
    </w:p>
    <w:p w14:paraId="21716668" w14:textId="77777777" w:rsidR="000B43FA" w:rsidRPr="00596B5B" w:rsidRDefault="000B43FA" w:rsidP="000B43FA">
      <w:pPr>
        <w:numPr>
          <w:ilvl w:val="0"/>
          <w:numId w:val="1"/>
        </w:numPr>
        <w:spacing w:before="100" w:beforeAutospacing="1" w:after="120" w:line="240" w:lineRule="auto"/>
        <w:ind w:left="1080"/>
        <w:rPr>
          <w:rFonts w:ascii="Verdana" w:eastAsia="Times New Roman" w:hAnsi="Verdana" w:cs="Segoe UI"/>
          <w:color w:val="616161"/>
          <w:kern w:val="0"/>
          <w:sz w:val="24"/>
          <w:szCs w:val="24"/>
          <w:lang w:eastAsia="it-IT"/>
          <w14:ligatures w14:val="none"/>
        </w:rPr>
      </w:pPr>
      <w:r w:rsidRPr="00596B5B">
        <w:rPr>
          <w:rFonts w:ascii="Verdana" w:eastAsia="Times New Roman" w:hAnsi="Verdana" w:cs="Segoe UI"/>
          <w:b/>
          <w:bCs/>
          <w:color w:val="616161"/>
          <w:kern w:val="0"/>
          <w:sz w:val="24"/>
          <w:szCs w:val="24"/>
          <w:lang w:eastAsia="it-IT"/>
          <w14:ligatures w14:val="none"/>
        </w:rPr>
        <w:t>Natura dell'obbligo e decorrenza</w:t>
      </w:r>
    </w:p>
    <w:p w14:paraId="1672723C" w14:textId="77777777" w:rsidR="000B43FA" w:rsidRPr="00596B5B" w:rsidRDefault="000B43FA" w:rsidP="000B43FA">
      <w:pPr>
        <w:numPr>
          <w:ilvl w:val="0"/>
          <w:numId w:val="2"/>
        </w:numPr>
        <w:spacing w:before="100" w:beforeAutospacing="1" w:after="120" w:line="240" w:lineRule="auto"/>
        <w:ind w:left="1080"/>
        <w:rPr>
          <w:rFonts w:ascii="Verdana" w:eastAsia="Times New Roman" w:hAnsi="Verdana" w:cs="Segoe UI"/>
          <w:color w:val="616161"/>
          <w:kern w:val="0"/>
          <w:sz w:val="24"/>
          <w:szCs w:val="24"/>
          <w:lang w:eastAsia="it-IT"/>
          <w14:ligatures w14:val="none"/>
        </w:rPr>
      </w:pPr>
      <w:r w:rsidRPr="00596B5B">
        <w:rPr>
          <w:rFonts w:ascii="Verdana" w:eastAsia="Times New Roman" w:hAnsi="Verdana" w:cs="Segoe UI"/>
          <w:b/>
          <w:bCs/>
          <w:color w:val="616161"/>
          <w:kern w:val="0"/>
          <w:sz w:val="24"/>
          <w:szCs w:val="24"/>
          <w:lang w:eastAsia="it-IT"/>
          <w14:ligatures w14:val="none"/>
        </w:rPr>
        <w:t>Collegamento Logico:</w:t>
      </w:r>
      <w:r w:rsidRPr="00596B5B">
        <w:rPr>
          <w:rFonts w:ascii="Verdana" w:eastAsia="Times New Roman" w:hAnsi="Verdana" w:cs="Segoe UI"/>
          <w:color w:val="616161"/>
          <w:kern w:val="0"/>
          <w:sz w:val="24"/>
          <w:szCs w:val="24"/>
          <w:lang w:eastAsia="it-IT"/>
          <w14:ligatures w14:val="none"/>
        </w:rPr>
        <w:t> Non è richiesto alcun collegamento fisico (cavi o hardware) tra il POS e il Registratore Telematico (RT). L'adempimento consiste in un </w:t>
      </w:r>
      <w:r w:rsidRPr="00596B5B">
        <w:rPr>
          <w:rFonts w:ascii="Verdana" w:eastAsia="Times New Roman" w:hAnsi="Verdana" w:cs="Segoe UI"/>
          <w:b/>
          <w:bCs/>
          <w:color w:val="616161"/>
          <w:kern w:val="0"/>
          <w:sz w:val="24"/>
          <w:szCs w:val="24"/>
          <w:lang w:eastAsia="it-IT"/>
          <w14:ligatures w14:val="none"/>
        </w:rPr>
        <w:t>collegamento logico</w:t>
      </w:r>
      <w:r w:rsidRPr="00596B5B">
        <w:rPr>
          <w:rFonts w:ascii="Verdana" w:eastAsia="Times New Roman" w:hAnsi="Verdana" w:cs="Segoe UI"/>
          <w:color w:val="616161"/>
          <w:kern w:val="0"/>
          <w:sz w:val="24"/>
          <w:szCs w:val="24"/>
          <w:lang w:eastAsia="it-IT"/>
          <w14:ligatures w14:val="none"/>
        </w:rPr>
        <w:t> da effettuare tramite il portale "Fatture e Corrispettivi" dell'Agenzia delle Entrate.</w:t>
      </w:r>
    </w:p>
    <w:p w14:paraId="3F952217" w14:textId="77777777" w:rsidR="000B43FA" w:rsidRPr="00596B5B" w:rsidRDefault="000B43FA" w:rsidP="000B43FA">
      <w:pPr>
        <w:numPr>
          <w:ilvl w:val="0"/>
          <w:numId w:val="2"/>
        </w:numPr>
        <w:spacing w:before="100" w:beforeAutospacing="1" w:after="120" w:line="240" w:lineRule="auto"/>
        <w:ind w:left="1080"/>
        <w:rPr>
          <w:rFonts w:ascii="Verdana" w:eastAsia="Times New Roman" w:hAnsi="Verdana" w:cs="Segoe UI"/>
          <w:color w:val="616161"/>
          <w:kern w:val="0"/>
          <w:sz w:val="24"/>
          <w:szCs w:val="24"/>
          <w:lang w:eastAsia="it-IT"/>
          <w14:ligatures w14:val="none"/>
        </w:rPr>
      </w:pPr>
      <w:r w:rsidRPr="00596B5B">
        <w:rPr>
          <w:rFonts w:ascii="Verdana" w:eastAsia="Times New Roman" w:hAnsi="Verdana" w:cs="Segoe UI"/>
          <w:b/>
          <w:bCs/>
          <w:color w:val="616161"/>
          <w:kern w:val="0"/>
          <w:sz w:val="24"/>
          <w:szCs w:val="24"/>
          <w:lang w:eastAsia="it-IT"/>
          <w14:ligatures w14:val="none"/>
        </w:rPr>
        <w:t>Costi:</w:t>
      </w:r>
      <w:r w:rsidRPr="00596B5B">
        <w:rPr>
          <w:rFonts w:ascii="Verdana" w:eastAsia="Times New Roman" w:hAnsi="Verdana" w:cs="Segoe UI"/>
          <w:color w:val="616161"/>
          <w:kern w:val="0"/>
          <w:sz w:val="24"/>
          <w:szCs w:val="24"/>
          <w:lang w:eastAsia="it-IT"/>
          <w14:ligatures w14:val="none"/>
        </w:rPr>
        <w:t> La procedura è gratuita e non richiede aggiornamenti tecnici dei dispositivi esistenti.</w:t>
      </w:r>
    </w:p>
    <w:p w14:paraId="5749B255" w14:textId="77777777" w:rsidR="000B43FA" w:rsidRDefault="000B43FA" w:rsidP="000B43FA">
      <w:pPr>
        <w:numPr>
          <w:ilvl w:val="0"/>
          <w:numId w:val="2"/>
        </w:numPr>
        <w:spacing w:before="100" w:beforeAutospacing="1" w:after="120" w:line="240" w:lineRule="auto"/>
        <w:ind w:left="1080"/>
        <w:rPr>
          <w:rFonts w:ascii="Verdana" w:eastAsia="Times New Roman" w:hAnsi="Verdana" w:cs="Segoe UI"/>
          <w:color w:val="616161"/>
          <w:kern w:val="0"/>
          <w:sz w:val="24"/>
          <w:szCs w:val="24"/>
          <w:lang w:eastAsia="it-IT"/>
          <w14:ligatures w14:val="none"/>
        </w:rPr>
      </w:pPr>
      <w:r w:rsidRPr="00596B5B">
        <w:rPr>
          <w:rFonts w:ascii="Verdana" w:eastAsia="Times New Roman" w:hAnsi="Verdana" w:cs="Segoe UI"/>
          <w:b/>
          <w:bCs/>
          <w:color w:val="616161"/>
          <w:kern w:val="0"/>
          <w:sz w:val="24"/>
          <w:szCs w:val="24"/>
          <w:lang w:eastAsia="it-IT"/>
          <w14:ligatures w14:val="none"/>
        </w:rPr>
        <w:lastRenderedPageBreak/>
        <w:t>Date:</w:t>
      </w:r>
      <w:r w:rsidRPr="00596B5B">
        <w:rPr>
          <w:rFonts w:ascii="Verdana" w:eastAsia="Times New Roman" w:hAnsi="Verdana" w:cs="Segoe UI"/>
          <w:color w:val="616161"/>
          <w:kern w:val="0"/>
          <w:sz w:val="24"/>
          <w:szCs w:val="24"/>
          <w:lang w:eastAsia="it-IT"/>
          <w14:ligatures w14:val="none"/>
        </w:rPr>
        <w:t> L'obbligo è decorso dal </w:t>
      </w:r>
      <w:r w:rsidRPr="00596B5B">
        <w:rPr>
          <w:rFonts w:ascii="Verdana" w:eastAsia="Times New Roman" w:hAnsi="Verdana" w:cs="Segoe UI"/>
          <w:b/>
          <w:bCs/>
          <w:color w:val="616161"/>
          <w:kern w:val="0"/>
          <w:sz w:val="24"/>
          <w:szCs w:val="24"/>
          <w:lang w:eastAsia="it-IT"/>
          <w14:ligatures w14:val="none"/>
        </w:rPr>
        <w:t>1° gennaio 2026</w:t>
      </w:r>
      <w:r w:rsidRPr="00596B5B">
        <w:rPr>
          <w:rFonts w:ascii="Verdana" w:eastAsia="Times New Roman" w:hAnsi="Verdana" w:cs="Segoe UI"/>
          <w:color w:val="616161"/>
          <w:kern w:val="0"/>
          <w:sz w:val="24"/>
          <w:szCs w:val="24"/>
          <w:lang w:eastAsia="it-IT"/>
          <w14:ligatures w14:val="none"/>
        </w:rPr>
        <w:t xml:space="preserve">. Il servizio online per comunicare i collegamenti </w:t>
      </w:r>
      <w:r>
        <w:rPr>
          <w:rFonts w:ascii="Verdana" w:eastAsia="Times New Roman" w:hAnsi="Verdana" w:cs="Segoe UI"/>
          <w:color w:val="616161"/>
          <w:kern w:val="0"/>
          <w:sz w:val="24"/>
          <w:szCs w:val="24"/>
          <w:lang w:eastAsia="it-IT"/>
          <w14:ligatures w14:val="none"/>
        </w:rPr>
        <w:t>è</w:t>
      </w:r>
      <w:r w:rsidRPr="00596B5B">
        <w:rPr>
          <w:rFonts w:ascii="Verdana" w:eastAsia="Times New Roman" w:hAnsi="Verdana" w:cs="Segoe UI"/>
          <w:color w:val="616161"/>
          <w:kern w:val="0"/>
          <w:sz w:val="24"/>
          <w:szCs w:val="24"/>
          <w:lang w:eastAsia="it-IT"/>
          <w14:ligatures w14:val="none"/>
        </w:rPr>
        <w:t xml:space="preserve"> attivo dal </w:t>
      </w:r>
      <w:r w:rsidRPr="00596B5B">
        <w:rPr>
          <w:rFonts w:ascii="Verdana" w:eastAsia="Times New Roman" w:hAnsi="Verdana" w:cs="Segoe UI"/>
          <w:b/>
          <w:bCs/>
          <w:color w:val="616161"/>
          <w:kern w:val="0"/>
          <w:sz w:val="24"/>
          <w:szCs w:val="24"/>
          <w:lang w:eastAsia="it-IT"/>
          <w14:ligatures w14:val="none"/>
        </w:rPr>
        <w:t>5 marzo 2026</w:t>
      </w:r>
      <w:r w:rsidRPr="00596B5B">
        <w:rPr>
          <w:rFonts w:ascii="Verdana" w:eastAsia="Times New Roman" w:hAnsi="Verdana" w:cs="Segoe UI"/>
          <w:color w:val="616161"/>
          <w:kern w:val="0"/>
          <w:sz w:val="24"/>
          <w:szCs w:val="24"/>
          <w:lang w:eastAsia="it-IT"/>
          <w14:ligatures w14:val="none"/>
        </w:rPr>
        <w:t>.</w:t>
      </w:r>
    </w:p>
    <w:p w14:paraId="414B48E3" w14:textId="77777777" w:rsidR="000B43FA" w:rsidRPr="00596B5B" w:rsidRDefault="000B43FA" w:rsidP="000B43FA">
      <w:pPr>
        <w:spacing w:after="0" w:line="240" w:lineRule="auto"/>
        <w:rPr>
          <w:rFonts w:ascii="Verdana" w:eastAsia="Times New Roman" w:hAnsi="Verdana" w:cs="Segoe UI"/>
          <w:color w:val="616161"/>
          <w:kern w:val="0"/>
          <w:sz w:val="24"/>
          <w:szCs w:val="24"/>
          <w:lang w:eastAsia="it-IT"/>
          <w14:ligatures w14:val="none"/>
        </w:rPr>
      </w:pPr>
      <w:r w:rsidRPr="00596B5B">
        <w:rPr>
          <w:rFonts w:ascii="Verdana" w:eastAsia="Times New Roman" w:hAnsi="Verdana" w:cs="Segoe UI"/>
          <w:b/>
          <w:bCs/>
          <w:color w:val="616161"/>
          <w:kern w:val="0"/>
          <w:sz w:val="24"/>
          <w:szCs w:val="24"/>
          <w:lang w:eastAsia="it-IT"/>
          <w14:ligatures w14:val="none"/>
        </w:rPr>
        <w:t>2. Quando scatta l'obbligo per l'agenzia</w:t>
      </w:r>
    </w:p>
    <w:p w14:paraId="0037F66C" w14:textId="77777777" w:rsidR="000B43FA" w:rsidRPr="00596B5B" w:rsidRDefault="000B43FA" w:rsidP="000B43FA">
      <w:pPr>
        <w:spacing w:after="0" w:line="240" w:lineRule="auto"/>
        <w:rPr>
          <w:rFonts w:ascii="Verdana" w:eastAsia="Times New Roman" w:hAnsi="Verdana" w:cs="Segoe UI"/>
          <w:color w:val="616161"/>
          <w:kern w:val="0"/>
          <w:sz w:val="24"/>
          <w:szCs w:val="24"/>
          <w:lang w:eastAsia="it-IT"/>
          <w14:ligatures w14:val="none"/>
        </w:rPr>
      </w:pPr>
      <w:r w:rsidRPr="00596B5B">
        <w:rPr>
          <w:rFonts w:ascii="Verdana" w:eastAsia="Times New Roman" w:hAnsi="Verdana" w:cs="Segoe UI"/>
          <w:color w:val="616161"/>
          <w:kern w:val="0"/>
          <w:sz w:val="24"/>
          <w:szCs w:val="24"/>
          <w:lang w:eastAsia="it-IT"/>
          <w14:ligatures w14:val="none"/>
        </w:rPr>
        <w:t>Le agenzie di viaggio devono valutare come utilizzano il POS:</w:t>
      </w:r>
    </w:p>
    <w:p w14:paraId="7DF54B6C" w14:textId="77777777" w:rsidR="000B43FA" w:rsidRPr="00596B5B" w:rsidRDefault="000B43FA" w:rsidP="000B43FA">
      <w:pPr>
        <w:numPr>
          <w:ilvl w:val="0"/>
          <w:numId w:val="3"/>
        </w:numPr>
        <w:spacing w:before="100" w:beforeAutospacing="1" w:after="120" w:line="240" w:lineRule="auto"/>
        <w:ind w:left="1080"/>
        <w:rPr>
          <w:rFonts w:ascii="Verdana" w:eastAsia="Times New Roman" w:hAnsi="Verdana" w:cs="Segoe UI"/>
          <w:color w:val="616161"/>
          <w:kern w:val="0"/>
          <w:sz w:val="24"/>
          <w:szCs w:val="24"/>
          <w:lang w:eastAsia="it-IT"/>
          <w14:ligatures w14:val="none"/>
        </w:rPr>
      </w:pPr>
      <w:r w:rsidRPr="00596B5B">
        <w:rPr>
          <w:rFonts w:ascii="Verdana" w:eastAsia="Times New Roman" w:hAnsi="Verdana" w:cs="Segoe UI"/>
          <w:b/>
          <w:bCs/>
          <w:color w:val="616161"/>
          <w:kern w:val="0"/>
          <w:sz w:val="24"/>
          <w:szCs w:val="24"/>
          <w:lang w:eastAsia="it-IT"/>
          <w14:ligatures w14:val="none"/>
        </w:rPr>
        <w:t>Esenzione per sole fatture:</w:t>
      </w:r>
      <w:r w:rsidRPr="00596B5B">
        <w:rPr>
          <w:rFonts w:ascii="Verdana" w:eastAsia="Times New Roman" w:hAnsi="Verdana" w:cs="Segoe UI"/>
          <w:color w:val="616161"/>
          <w:kern w:val="0"/>
          <w:sz w:val="24"/>
          <w:szCs w:val="24"/>
          <w:lang w:eastAsia="it-IT"/>
          <w14:ligatures w14:val="none"/>
        </w:rPr>
        <w:t> Se l'agenzia utilizza il POS </w:t>
      </w:r>
      <w:r w:rsidRPr="00596B5B">
        <w:rPr>
          <w:rFonts w:ascii="Verdana" w:eastAsia="Times New Roman" w:hAnsi="Verdana" w:cs="Segoe UI"/>
          <w:b/>
          <w:bCs/>
          <w:color w:val="616161"/>
          <w:kern w:val="0"/>
          <w:sz w:val="24"/>
          <w:szCs w:val="24"/>
          <w:lang w:eastAsia="it-IT"/>
          <w14:ligatures w14:val="none"/>
        </w:rPr>
        <w:t>esclusivamente</w:t>
      </w:r>
      <w:r w:rsidRPr="00596B5B">
        <w:rPr>
          <w:rFonts w:ascii="Verdana" w:eastAsia="Times New Roman" w:hAnsi="Verdana" w:cs="Segoe UI"/>
          <w:color w:val="616161"/>
          <w:kern w:val="0"/>
          <w:sz w:val="24"/>
          <w:szCs w:val="24"/>
          <w:lang w:eastAsia="it-IT"/>
          <w14:ligatures w14:val="none"/>
        </w:rPr>
        <w:t> per incassare pagamenti relativi a operazioni documentate con </w:t>
      </w:r>
      <w:r w:rsidRPr="00596B5B">
        <w:rPr>
          <w:rFonts w:ascii="Verdana" w:eastAsia="Times New Roman" w:hAnsi="Verdana" w:cs="Segoe UI"/>
          <w:b/>
          <w:bCs/>
          <w:color w:val="616161"/>
          <w:kern w:val="0"/>
          <w:sz w:val="24"/>
          <w:szCs w:val="24"/>
          <w:lang w:eastAsia="it-IT"/>
          <w14:ligatures w14:val="none"/>
        </w:rPr>
        <w:t>fattura elettronica</w:t>
      </w:r>
      <w:r w:rsidRPr="00596B5B">
        <w:rPr>
          <w:rFonts w:ascii="Verdana" w:eastAsia="Times New Roman" w:hAnsi="Verdana" w:cs="Segoe UI"/>
          <w:color w:val="616161"/>
          <w:kern w:val="0"/>
          <w:sz w:val="24"/>
          <w:szCs w:val="24"/>
          <w:lang w:eastAsia="it-IT"/>
          <w14:ligatures w14:val="none"/>
        </w:rPr>
        <w:t>, non è obbligatorio effettuare il collegamento.</w:t>
      </w:r>
    </w:p>
    <w:p w14:paraId="465B654C" w14:textId="77777777" w:rsidR="000B43FA" w:rsidRPr="00596B5B" w:rsidRDefault="000B43FA" w:rsidP="000B43FA">
      <w:pPr>
        <w:numPr>
          <w:ilvl w:val="0"/>
          <w:numId w:val="3"/>
        </w:numPr>
        <w:spacing w:before="100" w:beforeAutospacing="1" w:after="120" w:line="240" w:lineRule="auto"/>
        <w:ind w:left="1080"/>
        <w:rPr>
          <w:rFonts w:ascii="Verdana" w:eastAsia="Times New Roman" w:hAnsi="Verdana" w:cs="Segoe UI"/>
          <w:color w:val="616161"/>
          <w:kern w:val="0"/>
          <w:sz w:val="24"/>
          <w:szCs w:val="24"/>
          <w:lang w:eastAsia="it-IT"/>
          <w14:ligatures w14:val="none"/>
        </w:rPr>
      </w:pPr>
      <w:r w:rsidRPr="00596B5B">
        <w:rPr>
          <w:rFonts w:ascii="Verdana" w:eastAsia="Times New Roman" w:hAnsi="Verdana" w:cs="Segoe UI"/>
          <w:b/>
          <w:bCs/>
          <w:color w:val="616161"/>
          <w:kern w:val="0"/>
          <w:sz w:val="24"/>
          <w:szCs w:val="24"/>
          <w:lang w:eastAsia="it-IT"/>
          <w14:ligatures w14:val="none"/>
        </w:rPr>
        <w:t>Uso Promiscuo (Obbligatorio):</w:t>
      </w:r>
      <w:r w:rsidRPr="00596B5B">
        <w:rPr>
          <w:rFonts w:ascii="Verdana" w:eastAsia="Times New Roman" w:hAnsi="Verdana" w:cs="Segoe UI"/>
          <w:color w:val="616161"/>
          <w:kern w:val="0"/>
          <w:sz w:val="24"/>
          <w:szCs w:val="24"/>
          <w:lang w:eastAsia="it-IT"/>
          <w14:ligatures w14:val="none"/>
        </w:rPr>
        <w:t> Se il POS viene usato sia per fatture che per operazioni certificate con </w:t>
      </w:r>
      <w:r w:rsidRPr="00596B5B">
        <w:rPr>
          <w:rFonts w:ascii="Verdana" w:eastAsia="Times New Roman" w:hAnsi="Verdana" w:cs="Segoe UI"/>
          <w:b/>
          <w:bCs/>
          <w:color w:val="616161"/>
          <w:kern w:val="0"/>
          <w:sz w:val="24"/>
          <w:szCs w:val="24"/>
          <w:lang w:eastAsia="it-IT"/>
          <w14:ligatures w14:val="none"/>
        </w:rPr>
        <w:t>documento commerciale</w:t>
      </w:r>
      <w:r w:rsidRPr="00596B5B">
        <w:rPr>
          <w:rFonts w:ascii="Verdana" w:eastAsia="Times New Roman" w:hAnsi="Verdana" w:cs="Segoe UI"/>
          <w:color w:val="616161"/>
          <w:kern w:val="0"/>
          <w:sz w:val="24"/>
          <w:szCs w:val="24"/>
          <w:lang w:eastAsia="it-IT"/>
          <w14:ligatures w14:val="none"/>
        </w:rPr>
        <w:t> (scontrino), il collegamento all'RT è </w:t>
      </w:r>
      <w:r w:rsidRPr="00596B5B">
        <w:rPr>
          <w:rFonts w:ascii="Verdana" w:eastAsia="Times New Roman" w:hAnsi="Verdana" w:cs="Segoe UI"/>
          <w:b/>
          <w:bCs/>
          <w:color w:val="616161"/>
          <w:kern w:val="0"/>
          <w:sz w:val="24"/>
          <w:szCs w:val="24"/>
          <w:lang w:eastAsia="it-IT"/>
          <w14:ligatures w14:val="none"/>
        </w:rPr>
        <w:t>obbligatorio</w:t>
      </w:r>
      <w:r w:rsidRPr="00596B5B">
        <w:rPr>
          <w:rFonts w:ascii="Verdana" w:eastAsia="Times New Roman" w:hAnsi="Verdana" w:cs="Segoe UI"/>
          <w:color w:val="616161"/>
          <w:kern w:val="0"/>
          <w:sz w:val="24"/>
          <w:szCs w:val="24"/>
          <w:lang w:eastAsia="it-IT"/>
          <w14:ligatures w14:val="none"/>
        </w:rPr>
        <w:t>.</w:t>
      </w:r>
    </w:p>
    <w:p w14:paraId="3B49EE99" w14:textId="77777777" w:rsidR="000B43FA" w:rsidRPr="00F35A17" w:rsidRDefault="000B43FA" w:rsidP="000B43FA">
      <w:pPr>
        <w:numPr>
          <w:ilvl w:val="0"/>
          <w:numId w:val="3"/>
        </w:numPr>
        <w:spacing w:before="100" w:beforeAutospacing="1" w:after="120" w:line="240" w:lineRule="auto"/>
        <w:ind w:left="1080"/>
        <w:rPr>
          <w:rFonts w:ascii="Verdana" w:eastAsia="Times New Roman" w:hAnsi="Verdana" w:cs="Segoe UI"/>
          <w:kern w:val="0"/>
          <w:sz w:val="24"/>
          <w:szCs w:val="24"/>
          <w:lang w:eastAsia="it-IT"/>
          <w14:ligatures w14:val="none"/>
        </w:rPr>
      </w:pPr>
      <w:r w:rsidRPr="00F35A17">
        <w:rPr>
          <w:rFonts w:ascii="Verdana" w:eastAsia="Times New Roman" w:hAnsi="Verdana" w:cs="Segoe UI"/>
          <w:b/>
          <w:bCs/>
          <w:color w:val="616161"/>
          <w:kern w:val="0"/>
          <w:sz w:val="24"/>
          <w:szCs w:val="24"/>
          <w:lang w:eastAsia="it-IT"/>
          <w14:ligatures w14:val="none"/>
        </w:rPr>
        <w:t>Esoneri:</w:t>
      </w:r>
      <w:r w:rsidRPr="00F35A17">
        <w:rPr>
          <w:rFonts w:ascii="Verdana" w:eastAsia="Times New Roman" w:hAnsi="Verdana" w:cs="Segoe UI"/>
          <w:color w:val="616161"/>
          <w:kern w:val="0"/>
          <w:sz w:val="24"/>
          <w:szCs w:val="24"/>
          <w:lang w:eastAsia="it-IT"/>
          <w14:ligatures w14:val="none"/>
        </w:rPr>
        <w:t xml:space="preserve"> Chi effettua solo attività esonerate dall'obbligo di memorizzazione e trasmissione telematica </w:t>
      </w:r>
      <w:r w:rsidRPr="00F35A17">
        <w:rPr>
          <w:rFonts w:ascii="Verdana" w:eastAsia="Times New Roman" w:hAnsi="Verdana" w:cs="Segoe UI"/>
          <w:kern w:val="0"/>
          <w:sz w:val="24"/>
          <w:szCs w:val="24"/>
          <w:lang w:eastAsia="it-IT"/>
          <w14:ligatures w14:val="none"/>
        </w:rPr>
        <w:t>(secondo l'art. 2 del DPR 6696/1996 e il DM 10/05/2019) non deve obbligatoriamente effettuare il collegamento; può comunque comunicarlo all’ADE, entrando nella Voce (elenco a sinistra della pagina) “Collegamento Dispositivi – POS”  si trova la sotto-voce “POS non collegati” ed accanto al POS non collegato, si trova un'icona (rappresentata da un lucchetto) che permette di segnalare il motivo del mancato collegamento.</w:t>
      </w:r>
    </w:p>
    <w:p w14:paraId="1E534331" w14:textId="77777777" w:rsidR="000B43FA" w:rsidRPr="00053631" w:rsidRDefault="000B43FA" w:rsidP="000B43FA">
      <w:pPr>
        <w:spacing w:after="0" w:line="240" w:lineRule="auto"/>
        <w:rPr>
          <w:rFonts w:ascii="Verdana" w:eastAsia="Times New Roman" w:hAnsi="Verdana" w:cs="Segoe UI"/>
          <w:kern w:val="0"/>
          <w:sz w:val="24"/>
          <w:szCs w:val="24"/>
          <w:lang w:eastAsia="it-IT"/>
          <w14:ligatures w14:val="none"/>
        </w:rPr>
      </w:pPr>
      <w:r w:rsidRPr="00053631">
        <w:rPr>
          <w:rFonts w:ascii="Verdana" w:eastAsia="Times New Roman" w:hAnsi="Verdana" w:cs="Segoe UI"/>
          <w:b/>
          <w:bCs/>
          <w:kern w:val="0"/>
          <w:sz w:val="24"/>
          <w:szCs w:val="24"/>
          <w:lang w:eastAsia="it-IT"/>
          <w14:ligatures w14:val="none"/>
        </w:rPr>
        <w:t>3. Tempistiche e Scadenze</w:t>
      </w:r>
    </w:p>
    <w:p w14:paraId="7B457FF2" w14:textId="77777777" w:rsidR="000B43FA" w:rsidRPr="00053631" w:rsidRDefault="000B43FA" w:rsidP="000B43FA">
      <w:pPr>
        <w:numPr>
          <w:ilvl w:val="0"/>
          <w:numId w:val="4"/>
        </w:numPr>
        <w:spacing w:before="100" w:beforeAutospacing="1" w:after="120" w:line="240" w:lineRule="auto"/>
        <w:ind w:left="1080"/>
        <w:rPr>
          <w:rFonts w:ascii="Verdana" w:eastAsia="Times New Roman" w:hAnsi="Verdana" w:cs="Segoe UI"/>
          <w:kern w:val="0"/>
          <w:sz w:val="24"/>
          <w:szCs w:val="24"/>
          <w:lang w:eastAsia="it-IT"/>
          <w14:ligatures w14:val="none"/>
        </w:rPr>
      </w:pPr>
      <w:r w:rsidRPr="00053631">
        <w:rPr>
          <w:rFonts w:ascii="Verdana" w:eastAsia="Times New Roman" w:hAnsi="Verdana" w:cs="Segoe UI"/>
          <w:b/>
          <w:bCs/>
          <w:kern w:val="0"/>
          <w:sz w:val="24"/>
          <w:szCs w:val="24"/>
          <w:lang w:eastAsia="it-IT"/>
          <w14:ligatures w14:val="none"/>
        </w:rPr>
        <w:t>Prima comunicazione (Dati di Gennaio):</w:t>
      </w:r>
      <w:r w:rsidRPr="00053631">
        <w:rPr>
          <w:rFonts w:ascii="Verdana" w:eastAsia="Times New Roman" w:hAnsi="Verdana" w:cs="Segoe UI"/>
          <w:kern w:val="0"/>
          <w:sz w:val="24"/>
          <w:szCs w:val="24"/>
          <w:lang w:eastAsia="it-IT"/>
          <w14:ligatures w14:val="none"/>
        </w:rPr>
        <w:t xml:space="preserve"> Dal </w:t>
      </w:r>
      <w:r w:rsidRPr="00F35A17">
        <w:rPr>
          <w:rFonts w:ascii="Verdana" w:eastAsia="Times New Roman" w:hAnsi="Verdana" w:cs="Segoe UI"/>
          <w:b/>
          <w:bCs/>
          <w:kern w:val="0"/>
          <w:sz w:val="24"/>
          <w:szCs w:val="24"/>
          <w:lang w:eastAsia="it-IT"/>
          <w14:ligatures w14:val="none"/>
        </w:rPr>
        <w:t>5 marzo 2026</w:t>
      </w:r>
      <w:r w:rsidRPr="00053631">
        <w:rPr>
          <w:rFonts w:ascii="Verdana" w:eastAsia="Times New Roman" w:hAnsi="Verdana" w:cs="Segoe UI"/>
          <w:kern w:val="0"/>
          <w:sz w:val="24"/>
          <w:szCs w:val="24"/>
          <w:lang w:eastAsia="it-IT"/>
          <w14:ligatures w14:val="none"/>
        </w:rPr>
        <w:t> si dovranno collegare i dispositivi utilizzati nel mese di </w:t>
      </w:r>
      <w:r w:rsidRPr="00053631">
        <w:rPr>
          <w:rFonts w:ascii="Verdana" w:eastAsia="Times New Roman" w:hAnsi="Verdana" w:cs="Segoe UI"/>
          <w:b/>
          <w:bCs/>
          <w:kern w:val="0"/>
          <w:sz w:val="24"/>
          <w:szCs w:val="24"/>
          <w:lang w:eastAsia="it-IT"/>
          <w14:ligatures w14:val="none"/>
        </w:rPr>
        <w:t>gennaio 2026</w:t>
      </w:r>
      <w:r w:rsidRPr="00053631">
        <w:rPr>
          <w:rFonts w:ascii="Verdana" w:eastAsia="Times New Roman" w:hAnsi="Verdana" w:cs="Segoe UI"/>
          <w:kern w:val="0"/>
          <w:sz w:val="24"/>
          <w:szCs w:val="24"/>
          <w:lang w:eastAsia="it-IT"/>
          <w14:ligatures w14:val="none"/>
        </w:rPr>
        <w:t>. Per questa prima fase sono concessi </w:t>
      </w:r>
      <w:r w:rsidRPr="00053631">
        <w:rPr>
          <w:rFonts w:ascii="Verdana" w:eastAsia="Times New Roman" w:hAnsi="Verdana" w:cs="Segoe UI"/>
          <w:b/>
          <w:bCs/>
          <w:kern w:val="0"/>
          <w:sz w:val="24"/>
          <w:szCs w:val="24"/>
          <w:lang w:eastAsia="it-IT"/>
          <w14:ligatures w14:val="none"/>
        </w:rPr>
        <w:t>45 giorni</w:t>
      </w:r>
      <w:r w:rsidRPr="00053631">
        <w:rPr>
          <w:rFonts w:ascii="Verdana" w:eastAsia="Times New Roman" w:hAnsi="Verdana" w:cs="Segoe UI"/>
          <w:kern w:val="0"/>
          <w:sz w:val="24"/>
          <w:szCs w:val="24"/>
          <w:lang w:eastAsia="it-IT"/>
          <w14:ligatures w14:val="none"/>
        </w:rPr>
        <w:t> di tempo dall'apertura del servizio.</w:t>
      </w:r>
    </w:p>
    <w:p w14:paraId="344A5C41" w14:textId="77777777" w:rsidR="000B43FA" w:rsidRPr="00053631" w:rsidRDefault="000B43FA" w:rsidP="000B43FA">
      <w:pPr>
        <w:numPr>
          <w:ilvl w:val="0"/>
          <w:numId w:val="4"/>
        </w:numPr>
        <w:spacing w:before="100" w:beforeAutospacing="1" w:after="120" w:line="240" w:lineRule="auto"/>
        <w:ind w:left="1080"/>
        <w:rPr>
          <w:rFonts w:ascii="Verdana" w:eastAsia="Times New Roman" w:hAnsi="Verdana" w:cs="Segoe UI"/>
          <w:kern w:val="0"/>
          <w:sz w:val="24"/>
          <w:szCs w:val="24"/>
          <w:lang w:eastAsia="it-IT"/>
          <w14:ligatures w14:val="none"/>
        </w:rPr>
      </w:pPr>
      <w:r w:rsidRPr="00053631">
        <w:rPr>
          <w:rFonts w:ascii="Verdana" w:eastAsia="Times New Roman" w:hAnsi="Verdana" w:cs="Segoe UI"/>
          <w:b/>
          <w:bCs/>
          <w:kern w:val="0"/>
          <w:sz w:val="24"/>
          <w:szCs w:val="24"/>
          <w:lang w:eastAsia="it-IT"/>
          <w14:ligatures w14:val="none"/>
        </w:rPr>
        <w:t>Variazioni successive:</w:t>
      </w:r>
      <w:r w:rsidRPr="00053631">
        <w:rPr>
          <w:rFonts w:ascii="Verdana" w:eastAsia="Times New Roman" w:hAnsi="Verdana" w:cs="Segoe UI"/>
          <w:kern w:val="0"/>
          <w:sz w:val="24"/>
          <w:szCs w:val="24"/>
          <w:lang w:eastAsia="it-IT"/>
          <w14:ligatures w14:val="none"/>
        </w:rPr>
        <w:t> Per ogni cambio di POS o RT, o nuove attivazioni (es. un nuovo POS a febbraio), l'aggiornamento del collegamento va fatto entro </w:t>
      </w:r>
      <w:r w:rsidRPr="00053631">
        <w:rPr>
          <w:rFonts w:ascii="Verdana" w:eastAsia="Times New Roman" w:hAnsi="Verdana" w:cs="Segoe UI"/>
          <w:b/>
          <w:bCs/>
          <w:kern w:val="0"/>
          <w:sz w:val="24"/>
          <w:szCs w:val="24"/>
          <w:lang w:eastAsia="it-IT"/>
          <w14:ligatures w14:val="none"/>
        </w:rPr>
        <w:t>30 giorni</w:t>
      </w:r>
      <w:r w:rsidRPr="00053631">
        <w:rPr>
          <w:rFonts w:ascii="Verdana" w:eastAsia="Times New Roman" w:hAnsi="Verdana" w:cs="Segoe UI"/>
          <w:kern w:val="0"/>
          <w:sz w:val="24"/>
          <w:szCs w:val="24"/>
          <w:lang w:eastAsia="it-IT"/>
          <w14:ligatures w14:val="none"/>
        </w:rPr>
        <w:t> dall'evento (ma i dati saranno visibili sul portale solo dal mese successivo a quello della variazione).</w:t>
      </w:r>
    </w:p>
    <w:p w14:paraId="23C1EE79" w14:textId="77777777" w:rsidR="000B43FA" w:rsidRPr="00053631" w:rsidRDefault="000B43FA" w:rsidP="000B43FA">
      <w:pPr>
        <w:spacing w:after="0" w:line="240" w:lineRule="auto"/>
        <w:rPr>
          <w:rFonts w:ascii="Verdana" w:eastAsia="Times New Roman" w:hAnsi="Verdana" w:cs="Segoe UI"/>
          <w:kern w:val="0"/>
          <w:sz w:val="24"/>
          <w:szCs w:val="24"/>
          <w:lang w:eastAsia="it-IT"/>
          <w14:ligatures w14:val="none"/>
        </w:rPr>
      </w:pPr>
      <w:r w:rsidRPr="00053631">
        <w:rPr>
          <w:rFonts w:ascii="Verdana" w:eastAsia="Times New Roman" w:hAnsi="Verdana" w:cs="Segoe UI"/>
          <w:b/>
          <w:bCs/>
          <w:kern w:val="0"/>
          <w:sz w:val="24"/>
          <w:szCs w:val="24"/>
          <w:lang w:eastAsia="it-IT"/>
          <w14:ligatures w14:val="none"/>
        </w:rPr>
        <w:t>4. Gestione delle discrepanze (Compliance)</w:t>
      </w:r>
    </w:p>
    <w:p w14:paraId="61E66F06" w14:textId="77777777" w:rsidR="000B43FA" w:rsidRPr="00053631" w:rsidRDefault="000B43FA" w:rsidP="000B43FA">
      <w:pPr>
        <w:spacing w:after="0" w:line="240" w:lineRule="auto"/>
        <w:rPr>
          <w:rFonts w:ascii="Verdana" w:eastAsia="Times New Roman" w:hAnsi="Verdana" w:cs="Segoe UI"/>
          <w:kern w:val="0"/>
          <w:sz w:val="24"/>
          <w:szCs w:val="24"/>
          <w:lang w:eastAsia="it-IT"/>
          <w14:ligatures w14:val="none"/>
        </w:rPr>
      </w:pPr>
      <w:r w:rsidRPr="00053631">
        <w:rPr>
          <w:rFonts w:ascii="Verdana" w:eastAsia="Times New Roman" w:hAnsi="Verdana" w:cs="Segoe UI"/>
          <w:kern w:val="0"/>
          <w:sz w:val="24"/>
          <w:szCs w:val="24"/>
          <w:lang w:eastAsia="it-IT"/>
          <w14:ligatures w14:val="none"/>
        </w:rPr>
        <w:t>Le agenzie di viaggio spesso presentano differenze tra gli incassi POS e i corrispettivi RT (ad esempio per incassi di biglietterie, di viaggi intermediati con i T.O., operazioni in regime 74-ter o per incassi di fatture).</w:t>
      </w:r>
    </w:p>
    <w:p w14:paraId="603E1591" w14:textId="77777777" w:rsidR="000B43FA" w:rsidRPr="00596B5B" w:rsidRDefault="000B43FA" w:rsidP="000B43FA">
      <w:pPr>
        <w:numPr>
          <w:ilvl w:val="0"/>
          <w:numId w:val="5"/>
        </w:numPr>
        <w:spacing w:before="100" w:beforeAutospacing="1" w:after="120" w:line="240" w:lineRule="auto"/>
        <w:ind w:left="1080"/>
        <w:rPr>
          <w:rFonts w:ascii="Verdana" w:eastAsia="Times New Roman" w:hAnsi="Verdana" w:cs="Segoe UI"/>
          <w:color w:val="616161"/>
          <w:kern w:val="0"/>
          <w:sz w:val="24"/>
          <w:szCs w:val="24"/>
          <w:lang w:eastAsia="it-IT"/>
          <w14:ligatures w14:val="none"/>
        </w:rPr>
      </w:pPr>
      <w:r w:rsidRPr="00053631">
        <w:rPr>
          <w:rFonts w:ascii="Verdana" w:eastAsia="Times New Roman" w:hAnsi="Verdana" w:cs="Segoe UI"/>
          <w:kern w:val="0"/>
          <w:sz w:val="24"/>
          <w:szCs w:val="24"/>
          <w:lang w:eastAsia="it-IT"/>
          <w14:ligatures w14:val="none"/>
        </w:rPr>
        <w:t>L'Agenzia delle Entrate ha rassicurato che </w:t>
      </w:r>
      <w:r w:rsidRPr="00053631">
        <w:rPr>
          <w:rFonts w:ascii="Verdana" w:eastAsia="Times New Roman" w:hAnsi="Verdana" w:cs="Segoe UI"/>
          <w:b/>
          <w:bCs/>
          <w:kern w:val="0"/>
          <w:sz w:val="24"/>
          <w:szCs w:val="24"/>
          <w:lang w:eastAsia="it-IT"/>
          <w14:ligatures w14:val="none"/>
        </w:rPr>
        <w:t xml:space="preserve">le discrasie </w:t>
      </w:r>
      <w:r w:rsidRPr="00596B5B">
        <w:rPr>
          <w:rFonts w:ascii="Verdana" w:eastAsia="Times New Roman" w:hAnsi="Verdana" w:cs="Segoe UI"/>
          <w:b/>
          <w:bCs/>
          <w:color w:val="616161"/>
          <w:kern w:val="0"/>
          <w:sz w:val="24"/>
          <w:szCs w:val="24"/>
          <w:lang w:eastAsia="it-IT"/>
          <w14:ligatures w14:val="none"/>
        </w:rPr>
        <w:t>non generano sanzioni automatiche</w:t>
      </w:r>
      <w:r w:rsidRPr="00596B5B">
        <w:rPr>
          <w:rFonts w:ascii="Verdana" w:eastAsia="Times New Roman" w:hAnsi="Verdana" w:cs="Segoe UI"/>
          <w:color w:val="616161"/>
          <w:kern w:val="0"/>
          <w:sz w:val="24"/>
          <w:szCs w:val="24"/>
          <w:lang w:eastAsia="it-IT"/>
          <w14:ligatures w14:val="none"/>
        </w:rPr>
        <w:t>.</w:t>
      </w:r>
    </w:p>
    <w:p w14:paraId="48CE3417" w14:textId="77777777" w:rsidR="000B43FA" w:rsidRPr="00596B5B" w:rsidRDefault="000B43FA" w:rsidP="000B43FA">
      <w:pPr>
        <w:numPr>
          <w:ilvl w:val="0"/>
          <w:numId w:val="5"/>
        </w:numPr>
        <w:spacing w:before="100" w:beforeAutospacing="1" w:after="120" w:line="240" w:lineRule="auto"/>
        <w:ind w:left="1080"/>
        <w:rPr>
          <w:rFonts w:ascii="Verdana" w:eastAsia="Times New Roman" w:hAnsi="Verdana" w:cs="Segoe UI"/>
          <w:color w:val="616161"/>
          <w:kern w:val="0"/>
          <w:sz w:val="24"/>
          <w:szCs w:val="24"/>
          <w:lang w:eastAsia="it-IT"/>
          <w14:ligatures w14:val="none"/>
        </w:rPr>
      </w:pPr>
      <w:r w:rsidRPr="00596B5B">
        <w:rPr>
          <w:rFonts w:ascii="Verdana" w:eastAsia="Times New Roman" w:hAnsi="Verdana" w:cs="Segoe UI"/>
          <w:color w:val="616161"/>
          <w:kern w:val="0"/>
          <w:sz w:val="24"/>
          <w:szCs w:val="24"/>
          <w:lang w:eastAsia="it-IT"/>
          <w14:ligatures w14:val="none"/>
        </w:rPr>
        <w:t>Il sistema di controllo incrocerà i dati del POS con tutte le informazioni disponibili (fatture elettroniche, codici ATECO, dichiarazioni) per giustificare eventuali differenze.</w:t>
      </w:r>
    </w:p>
    <w:p w14:paraId="29B13D15" w14:textId="77777777" w:rsidR="000B43FA" w:rsidRPr="00596B5B" w:rsidRDefault="000B43FA" w:rsidP="000B43FA">
      <w:pPr>
        <w:spacing w:after="0" w:line="240" w:lineRule="auto"/>
        <w:rPr>
          <w:rFonts w:ascii="Verdana" w:eastAsia="Times New Roman" w:hAnsi="Verdana" w:cs="Segoe UI"/>
          <w:color w:val="616161"/>
          <w:kern w:val="0"/>
          <w:sz w:val="24"/>
          <w:szCs w:val="24"/>
          <w:lang w:eastAsia="it-IT"/>
          <w14:ligatures w14:val="none"/>
        </w:rPr>
      </w:pPr>
      <w:r w:rsidRPr="00596B5B">
        <w:rPr>
          <w:rFonts w:ascii="Verdana" w:eastAsia="Times New Roman" w:hAnsi="Verdana" w:cs="Segoe UI"/>
          <w:b/>
          <w:bCs/>
          <w:color w:val="616161"/>
          <w:kern w:val="0"/>
          <w:sz w:val="24"/>
          <w:szCs w:val="24"/>
          <w:lang w:eastAsia="it-IT"/>
          <w14:ligatures w14:val="none"/>
        </w:rPr>
        <w:t>5. Operatività e Deleghe</w:t>
      </w:r>
    </w:p>
    <w:p w14:paraId="0F812998" w14:textId="77777777" w:rsidR="000B43FA" w:rsidRPr="00596B5B" w:rsidRDefault="000B43FA" w:rsidP="000B43FA">
      <w:pPr>
        <w:numPr>
          <w:ilvl w:val="0"/>
          <w:numId w:val="6"/>
        </w:numPr>
        <w:spacing w:before="100" w:beforeAutospacing="1" w:after="120" w:line="240" w:lineRule="auto"/>
        <w:ind w:left="1080"/>
        <w:rPr>
          <w:rFonts w:ascii="Verdana" w:eastAsia="Times New Roman" w:hAnsi="Verdana" w:cs="Segoe UI"/>
          <w:color w:val="616161"/>
          <w:kern w:val="0"/>
          <w:sz w:val="24"/>
          <w:szCs w:val="24"/>
          <w:lang w:eastAsia="it-IT"/>
          <w14:ligatures w14:val="none"/>
        </w:rPr>
      </w:pPr>
      <w:r w:rsidRPr="00596B5B">
        <w:rPr>
          <w:rFonts w:ascii="Verdana" w:eastAsia="Times New Roman" w:hAnsi="Verdana" w:cs="Segoe UI"/>
          <w:b/>
          <w:bCs/>
          <w:color w:val="616161"/>
          <w:kern w:val="0"/>
          <w:sz w:val="24"/>
          <w:szCs w:val="24"/>
          <w:lang w:eastAsia="it-IT"/>
          <w14:ligatures w14:val="none"/>
        </w:rPr>
        <w:lastRenderedPageBreak/>
        <w:t>Procedura Precompilata:</w:t>
      </w:r>
      <w:r w:rsidRPr="00596B5B">
        <w:rPr>
          <w:rFonts w:ascii="Verdana" w:eastAsia="Times New Roman" w:hAnsi="Verdana" w:cs="Segoe UI"/>
          <w:color w:val="616161"/>
          <w:kern w:val="0"/>
          <w:sz w:val="24"/>
          <w:szCs w:val="24"/>
          <w:lang w:eastAsia="it-IT"/>
          <w14:ligatures w14:val="none"/>
        </w:rPr>
        <w:t> Entrando nel portale, l'esercente troverà spesso i propri POS già elencati (dati inviati dalle banche); basterà associarli all'RT corretto e indicare il punto vendita.</w:t>
      </w:r>
    </w:p>
    <w:p w14:paraId="69257353" w14:textId="77777777" w:rsidR="000B43FA" w:rsidRPr="00596B5B" w:rsidRDefault="000B43FA" w:rsidP="000B43FA">
      <w:pPr>
        <w:numPr>
          <w:ilvl w:val="0"/>
          <w:numId w:val="6"/>
        </w:numPr>
        <w:spacing w:before="100" w:beforeAutospacing="1" w:after="120" w:line="240" w:lineRule="auto"/>
        <w:ind w:left="1080"/>
        <w:rPr>
          <w:rFonts w:ascii="Verdana" w:eastAsia="Times New Roman" w:hAnsi="Verdana" w:cs="Segoe UI"/>
          <w:color w:val="616161"/>
          <w:kern w:val="0"/>
          <w:sz w:val="24"/>
          <w:szCs w:val="24"/>
          <w:lang w:eastAsia="it-IT"/>
          <w14:ligatures w14:val="none"/>
        </w:rPr>
      </w:pPr>
      <w:r w:rsidRPr="00596B5B">
        <w:rPr>
          <w:rFonts w:ascii="Verdana" w:eastAsia="Times New Roman" w:hAnsi="Verdana" w:cs="Segoe UI"/>
          <w:b/>
          <w:bCs/>
          <w:color w:val="616161"/>
          <w:kern w:val="0"/>
          <w:sz w:val="24"/>
          <w:szCs w:val="24"/>
          <w:lang w:eastAsia="it-IT"/>
          <w14:ligatures w14:val="none"/>
        </w:rPr>
        <w:t>Inserimento Manuale:</w:t>
      </w:r>
      <w:r w:rsidRPr="00596B5B">
        <w:rPr>
          <w:rFonts w:ascii="Verdana" w:eastAsia="Times New Roman" w:hAnsi="Verdana" w:cs="Segoe UI"/>
          <w:color w:val="616161"/>
          <w:kern w:val="0"/>
          <w:sz w:val="24"/>
          <w:szCs w:val="24"/>
          <w:lang w:eastAsia="it-IT"/>
          <w14:ligatures w14:val="none"/>
        </w:rPr>
        <w:t> Se un POS non appare, può essere aggiunto manualmente usando il </w:t>
      </w:r>
      <w:r w:rsidRPr="00596B5B">
        <w:rPr>
          <w:rFonts w:ascii="Verdana" w:eastAsia="Times New Roman" w:hAnsi="Verdana" w:cs="Segoe UI"/>
          <w:b/>
          <w:bCs/>
          <w:color w:val="616161"/>
          <w:kern w:val="0"/>
          <w:sz w:val="24"/>
          <w:szCs w:val="24"/>
          <w:lang w:eastAsia="it-IT"/>
          <w14:ligatures w14:val="none"/>
        </w:rPr>
        <w:t>Terminal ID</w:t>
      </w:r>
      <w:r w:rsidRPr="00596B5B">
        <w:rPr>
          <w:rFonts w:ascii="Verdana" w:eastAsia="Times New Roman" w:hAnsi="Verdana" w:cs="Segoe UI"/>
          <w:color w:val="616161"/>
          <w:kern w:val="0"/>
          <w:sz w:val="24"/>
          <w:szCs w:val="24"/>
          <w:lang w:eastAsia="it-IT"/>
          <w14:ligatures w14:val="none"/>
        </w:rPr>
        <w:t> e il numero del </w:t>
      </w:r>
      <w:r w:rsidRPr="00596B5B">
        <w:rPr>
          <w:rFonts w:ascii="Verdana" w:eastAsia="Times New Roman" w:hAnsi="Verdana" w:cs="Segoe UI"/>
          <w:b/>
          <w:bCs/>
          <w:color w:val="616161"/>
          <w:kern w:val="0"/>
          <w:sz w:val="24"/>
          <w:szCs w:val="24"/>
          <w:lang w:eastAsia="it-IT"/>
          <w14:ligatures w14:val="none"/>
        </w:rPr>
        <w:t>contratto di convenzionamento</w:t>
      </w:r>
      <w:r w:rsidRPr="00596B5B">
        <w:rPr>
          <w:rFonts w:ascii="Verdana" w:eastAsia="Times New Roman" w:hAnsi="Verdana" w:cs="Segoe UI"/>
          <w:color w:val="616161"/>
          <w:kern w:val="0"/>
          <w:sz w:val="24"/>
          <w:szCs w:val="24"/>
          <w:lang w:eastAsia="it-IT"/>
          <w14:ligatures w14:val="none"/>
        </w:rPr>
        <w:t>.</w:t>
      </w:r>
    </w:p>
    <w:p w14:paraId="5CC61F73" w14:textId="77777777" w:rsidR="000B43FA" w:rsidRPr="00596B5B" w:rsidRDefault="000B43FA" w:rsidP="000B43FA">
      <w:pPr>
        <w:numPr>
          <w:ilvl w:val="0"/>
          <w:numId w:val="6"/>
        </w:numPr>
        <w:spacing w:before="100" w:beforeAutospacing="1" w:after="120" w:line="240" w:lineRule="auto"/>
        <w:ind w:left="1080"/>
        <w:rPr>
          <w:rFonts w:ascii="Verdana" w:eastAsia="Times New Roman" w:hAnsi="Verdana" w:cs="Segoe UI"/>
          <w:color w:val="616161"/>
          <w:kern w:val="0"/>
          <w:sz w:val="24"/>
          <w:szCs w:val="24"/>
          <w:lang w:eastAsia="it-IT"/>
          <w14:ligatures w14:val="none"/>
        </w:rPr>
      </w:pPr>
      <w:r w:rsidRPr="00596B5B">
        <w:rPr>
          <w:rFonts w:ascii="Verdana" w:eastAsia="Times New Roman" w:hAnsi="Verdana" w:cs="Segoe UI"/>
          <w:b/>
          <w:bCs/>
          <w:color w:val="616161"/>
          <w:kern w:val="0"/>
          <w:sz w:val="24"/>
          <w:szCs w:val="24"/>
          <w:lang w:eastAsia="it-IT"/>
          <w14:ligatures w14:val="none"/>
        </w:rPr>
        <w:t>Deleghe:</w:t>
      </w:r>
      <w:r w:rsidRPr="00596B5B">
        <w:rPr>
          <w:rFonts w:ascii="Verdana" w:eastAsia="Times New Roman" w:hAnsi="Verdana" w:cs="Segoe UI"/>
          <w:color w:val="616161"/>
          <w:kern w:val="0"/>
          <w:sz w:val="24"/>
          <w:szCs w:val="24"/>
          <w:lang w:eastAsia="it-IT"/>
          <w14:ligatures w14:val="none"/>
        </w:rPr>
        <w:t> L'agenzia può delegare l'operazione a </w:t>
      </w:r>
      <w:r w:rsidRPr="00596B5B">
        <w:rPr>
          <w:rFonts w:ascii="Verdana" w:eastAsia="Times New Roman" w:hAnsi="Verdana" w:cs="Segoe UI"/>
          <w:b/>
          <w:bCs/>
          <w:color w:val="616161"/>
          <w:kern w:val="0"/>
          <w:sz w:val="24"/>
          <w:szCs w:val="24"/>
          <w:lang w:eastAsia="it-IT"/>
          <w14:ligatures w14:val="none"/>
        </w:rPr>
        <w:t>intermediari</w:t>
      </w:r>
      <w:r w:rsidRPr="00596B5B">
        <w:rPr>
          <w:rFonts w:ascii="Verdana" w:eastAsia="Times New Roman" w:hAnsi="Verdana" w:cs="Segoe UI"/>
          <w:color w:val="616161"/>
          <w:kern w:val="0"/>
          <w:sz w:val="24"/>
          <w:szCs w:val="24"/>
          <w:lang w:eastAsia="it-IT"/>
          <w14:ligatures w14:val="none"/>
        </w:rPr>
        <w:t> (come le società di servizi Confcommercio), a patto che abbiano la delega per il "servizio accreditamento e censimento dispositivi".</w:t>
      </w:r>
    </w:p>
    <w:p w14:paraId="37B178FC" w14:textId="77777777" w:rsidR="000B43FA" w:rsidRPr="00F35A17" w:rsidRDefault="000B43FA" w:rsidP="000B43FA">
      <w:pPr>
        <w:numPr>
          <w:ilvl w:val="0"/>
          <w:numId w:val="6"/>
        </w:numPr>
        <w:spacing w:before="100" w:beforeAutospacing="1" w:after="120" w:line="240" w:lineRule="auto"/>
        <w:ind w:left="1080"/>
        <w:rPr>
          <w:rFonts w:ascii="Verdana" w:eastAsia="Times New Roman" w:hAnsi="Verdana" w:cs="Segoe UI"/>
          <w:color w:val="616161"/>
          <w:kern w:val="0"/>
          <w:sz w:val="24"/>
          <w:szCs w:val="24"/>
          <w:lang w:eastAsia="it-IT"/>
          <w14:ligatures w14:val="none"/>
        </w:rPr>
      </w:pPr>
      <w:r w:rsidRPr="00596B5B">
        <w:rPr>
          <w:rFonts w:ascii="Verdana" w:eastAsia="Times New Roman" w:hAnsi="Verdana" w:cs="Segoe UI"/>
          <w:b/>
          <w:bCs/>
          <w:color w:val="616161"/>
          <w:kern w:val="0"/>
          <w:sz w:val="24"/>
          <w:szCs w:val="24"/>
          <w:lang w:eastAsia="it-IT"/>
          <w14:ligatures w14:val="none"/>
        </w:rPr>
        <w:t>Eccezione:</w:t>
      </w:r>
      <w:r w:rsidRPr="00596B5B">
        <w:rPr>
          <w:rFonts w:ascii="Verdana" w:eastAsia="Times New Roman" w:hAnsi="Verdana" w:cs="Segoe UI"/>
          <w:color w:val="616161"/>
          <w:kern w:val="0"/>
          <w:sz w:val="24"/>
          <w:szCs w:val="24"/>
          <w:lang w:eastAsia="it-IT"/>
          <w14:ligatures w14:val="none"/>
        </w:rPr>
        <w:t> Se l'agenzia usa la procedura "Documento commerciale online" (senza RT fisico), il collegamento deve essere fatto direttamente dal titolare e </w:t>
      </w:r>
      <w:r w:rsidRPr="00596B5B">
        <w:rPr>
          <w:rFonts w:ascii="Verdana" w:eastAsia="Times New Roman" w:hAnsi="Verdana" w:cs="Segoe UI"/>
          <w:b/>
          <w:bCs/>
          <w:color w:val="616161"/>
          <w:kern w:val="0"/>
          <w:sz w:val="24"/>
          <w:szCs w:val="24"/>
          <w:lang w:eastAsia="it-IT"/>
          <w14:ligatures w14:val="none"/>
        </w:rPr>
        <w:t>non è delegabile</w:t>
      </w:r>
      <w:r>
        <w:rPr>
          <w:rFonts w:ascii="Verdana" w:eastAsia="Times New Roman" w:hAnsi="Verdana" w:cs="Segoe UI"/>
          <w:b/>
          <w:bCs/>
          <w:color w:val="616161"/>
          <w:kern w:val="0"/>
          <w:sz w:val="24"/>
          <w:szCs w:val="24"/>
          <w:lang w:eastAsia="it-IT"/>
          <w14:ligatures w14:val="none"/>
        </w:rPr>
        <w:t>.</w:t>
      </w:r>
    </w:p>
    <w:p w14:paraId="5938E81E" w14:textId="18D01205" w:rsidR="000B43FA" w:rsidRDefault="000B43FA" w:rsidP="000B43FA">
      <w:r w:rsidRPr="00F35A17">
        <w:rPr>
          <w:rFonts w:ascii="Verdana" w:eastAsia="Times New Roman" w:hAnsi="Verdana" w:cs="Segoe UI"/>
          <w:b/>
          <w:bCs/>
          <w:color w:val="C00000"/>
          <w:kern w:val="0"/>
          <w:sz w:val="24"/>
          <w:szCs w:val="24"/>
          <w:lang w:eastAsia="it-IT"/>
          <w14:ligatures w14:val="none"/>
        </w:rPr>
        <w:t>In allegato si inviano le Guide predisposte dall’Agenzia delle Entrate per effettuare il collegamen</w:t>
      </w:r>
      <w:r>
        <w:rPr>
          <w:rFonts w:ascii="Verdana" w:eastAsia="Times New Roman" w:hAnsi="Verdana" w:cs="Segoe UI"/>
          <w:b/>
          <w:bCs/>
          <w:color w:val="C00000"/>
          <w:kern w:val="0"/>
          <w:sz w:val="24"/>
          <w:szCs w:val="24"/>
          <w:lang w:eastAsia="it-IT"/>
          <w14:ligatures w14:val="none"/>
        </w:rPr>
        <w:t>to tra POS e R.T.</w:t>
      </w:r>
    </w:p>
    <w:sectPr w:rsidR="000B43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229FC"/>
    <w:multiLevelType w:val="multilevel"/>
    <w:tmpl w:val="D2CC9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997705"/>
    <w:multiLevelType w:val="multilevel"/>
    <w:tmpl w:val="7E5E8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BBA0054"/>
    <w:multiLevelType w:val="multilevel"/>
    <w:tmpl w:val="8324A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BFF74FC"/>
    <w:multiLevelType w:val="multilevel"/>
    <w:tmpl w:val="8D7C4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2BA080C"/>
    <w:multiLevelType w:val="multilevel"/>
    <w:tmpl w:val="A822B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7A25FD5"/>
    <w:multiLevelType w:val="hybridMultilevel"/>
    <w:tmpl w:val="BE3C81FE"/>
    <w:lvl w:ilvl="0" w:tplc="CDD01FA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944A48"/>
    <w:multiLevelType w:val="multilevel"/>
    <w:tmpl w:val="D9623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60380065">
    <w:abstractNumId w:val="0"/>
  </w:num>
  <w:num w:numId="2" w16cid:durableId="416170850">
    <w:abstractNumId w:val="3"/>
  </w:num>
  <w:num w:numId="3" w16cid:durableId="709496471">
    <w:abstractNumId w:val="1"/>
  </w:num>
  <w:num w:numId="4" w16cid:durableId="239338068">
    <w:abstractNumId w:val="2"/>
  </w:num>
  <w:num w:numId="5" w16cid:durableId="1343818895">
    <w:abstractNumId w:val="6"/>
  </w:num>
  <w:num w:numId="6" w16cid:durableId="1103261763">
    <w:abstractNumId w:val="4"/>
  </w:num>
  <w:num w:numId="7" w16cid:durableId="9555277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200"/>
    <w:rsid w:val="000B43FA"/>
    <w:rsid w:val="001A60FC"/>
    <w:rsid w:val="004B7B63"/>
    <w:rsid w:val="00880CE4"/>
    <w:rsid w:val="00C455A1"/>
    <w:rsid w:val="00F4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25317"/>
  <w15:chartTrackingRefBased/>
  <w15:docId w15:val="{F8BE7B93-AA0F-49B2-A5AD-443B7212D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402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402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402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402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402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402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402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402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402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402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402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402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4020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4020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4020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4020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4020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4020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402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402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402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402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402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4020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4020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4020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402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4020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40200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0B4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0B43FA"/>
    <w:rPr>
      <w:b/>
      <w:bCs/>
    </w:rPr>
  </w:style>
  <w:style w:type="character" w:styleId="Enfasicorsivo">
    <w:name w:val="Emphasis"/>
    <w:basedOn w:val="Carpredefinitoparagrafo"/>
    <w:uiPriority w:val="20"/>
    <w:qFormat/>
    <w:rsid w:val="000B43FA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0B43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f.finanze.it/DocTribFrontend/decodeurn?urn=urn:doctrib::DPR:1972;633_art2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ef.finanze.it/DocTribFrontend/decodeurn?urn=urn:doctrib::DPR:1972-10-26;633_art2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f.finanze.it/DocTribFrontend/decodeurn?urn=urn:doctrib::DPR:1996-12-21;696_art2" TargetMode="External"/><Relationship Id="rId11" Type="http://schemas.openxmlformats.org/officeDocument/2006/relationships/hyperlink" Target="https://def.finanze.it/DocTribFrontend/decodeurn?urn=urn:doctrib::L:1983-01-26;18" TargetMode="External"/><Relationship Id="rId5" Type="http://schemas.openxmlformats.org/officeDocument/2006/relationships/hyperlink" Target="https://def.finanze.it/DocTribFrontend/decodeurn?urn=urn:doctrib::DLG:2015-08-05;127_art2-com1" TargetMode="External"/><Relationship Id="rId10" Type="http://schemas.openxmlformats.org/officeDocument/2006/relationships/hyperlink" Target="https://def.finanze.it/DocTribFrontend/decodeurn?urn=urn:doctrib::L:1976-05-10;249_art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f.finanze.it/DocTribFrontend/decodeurn?urn=urn:doctrib::DPR:1972;633_art24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6</Pages>
  <Words>2064</Words>
  <Characters>11767</Characters>
  <Application>Microsoft Office Word</Application>
  <DocSecurity>0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Fulin</dc:creator>
  <cp:keywords/>
  <dc:description/>
  <cp:lastModifiedBy>Claudio Fulin</cp:lastModifiedBy>
  <cp:revision>2</cp:revision>
  <dcterms:created xsi:type="dcterms:W3CDTF">2026-03-18T11:27:00Z</dcterms:created>
  <dcterms:modified xsi:type="dcterms:W3CDTF">2026-03-18T16:07:00Z</dcterms:modified>
</cp:coreProperties>
</file>